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9" w:rsidRDefault="005C1159">
      <w:pPr>
        <w:pStyle w:val="BodyA"/>
        <w:jc w:val="center"/>
        <w:rPr>
          <w:rFonts w:ascii="Century" w:eastAsia="Century" w:hAnsi="Century" w:cs="Century"/>
          <w:b/>
          <w:bCs/>
          <w:sz w:val="24"/>
          <w:szCs w:val="24"/>
          <w:u w:val="single"/>
        </w:rPr>
      </w:pPr>
    </w:p>
    <w:p w:rsidR="005C1159" w:rsidRPr="00DE79AE" w:rsidRDefault="005C1159">
      <w:pPr>
        <w:pStyle w:val="BodyA"/>
        <w:jc w:val="center"/>
        <w:rPr>
          <w:rFonts w:ascii="Century" w:eastAsia="Century" w:hAnsi="Century" w:cs="Century"/>
          <w:b/>
          <w:bCs/>
          <w:sz w:val="36"/>
          <w:szCs w:val="36"/>
        </w:rPr>
      </w:pPr>
    </w:p>
    <w:p w:rsidR="005C1159" w:rsidRDefault="00AD58C9">
      <w:pPr>
        <w:pStyle w:val="BodyA"/>
        <w:jc w:val="center"/>
        <w:rPr>
          <w:rFonts w:ascii="Century" w:eastAsia="Century" w:hAnsi="Century" w:cs="Century"/>
          <w:b/>
          <w:bCs/>
          <w:sz w:val="36"/>
          <w:szCs w:val="36"/>
        </w:rPr>
      </w:pPr>
      <w:r w:rsidRPr="00AD58C9">
        <w:rPr>
          <w:rFonts w:ascii="Century" w:eastAsia="Century" w:hAnsi="Century" w:cs="Century"/>
          <w:b/>
          <w:bCs/>
          <w:sz w:val="36"/>
          <w:szCs w:val="36"/>
        </w:rPr>
        <w:t>AMERICAN BAR ASSOCIATION WEBINAR</w:t>
      </w:r>
    </w:p>
    <w:p w:rsidR="00346219" w:rsidRPr="00AD58C9" w:rsidRDefault="00346219">
      <w:pPr>
        <w:pStyle w:val="BodyA"/>
        <w:jc w:val="center"/>
        <w:rPr>
          <w:rFonts w:ascii="Century" w:eastAsia="Century" w:hAnsi="Century" w:cs="Century"/>
          <w:b/>
          <w:bCs/>
          <w:sz w:val="36"/>
          <w:szCs w:val="36"/>
        </w:rPr>
      </w:pPr>
      <w:r>
        <w:rPr>
          <w:rFonts w:ascii="Century" w:eastAsia="Century" w:hAnsi="Century" w:cs="Century"/>
          <w:b/>
          <w:bCs/>
          <w:sz w:val="36"/>
          <w:szCs w:val="36"/>
        </w:rPr>
        <w:t>October 17, 2016</w:t>
      </w:r>
    </w:p>
    <w:p w:rsidR="00AD58C9" w:rsidRDefault="00AD58C9">
      <w:pPr>
        <w:pStyle w:val="BodyA"/>
        <w:jc w:val="center"/>
        <w:rPr>
          <w:rFonts w:ascii="Century" w:eastAsia="Century" w:hAnsi="Century" w:cs="Century"/>
          <w:b/>
          <w:bCs/>
          <w:sz w:val="24"/>
          <w:szCs w:val="24"/>
          <w:u w:val="single"/>
        </w:rPr>
      </w:pPr>
    </w:p>
    <w:p w:rsidR="00AD58C9" w:rsidRDefault="00AD58C9">
      <w:pPr>
        <w:pStyle w:val="BodyA"/>
        <w:jc w:val="center"/>
        <w:rPr>
          <w:rFonts w:ascii="Century" w:eastAsia="Century" w:hAnsi="Century" w:cs="Century"/>
          <w:b/>
          <w:bCs/>
          <w:sz w:val="40"/>
          <w:szCs w:val="40"/>
          <w:u w:val="single"/>
        </w:rPr>
      </w:pPr>
      <w:r w:rsidRPr="00AD58C9">
        <w:rPr>
          <w:rFonts w:ascii="Century" w:eastAsia="Century" w:hAnsi="Century" w:cs="Century"/>
          <w:b/>
          <w:bCs/>
          <w:sz w:val="40"/>
          <w:szCs w:val="40"/>
          <w:u w:val="single"/>
        </w:rPr>
        <w:t xml:space="preserve">America Votes! Challenges Facing </w:t>
      </w:r>
    </w:p>
    <w:p w:rsidR="00AD58C9" w:rsidRDefault="00AD58C9">
      <w:pPr>
        <w:pStyle w:val="BodyA"/>
        <w:jc w:val="center"/>
        <w:rPr>
          <w:rFonts w:ascii="Century" w:eastAsia="Century" w:hAnsi="Century" w:cs="Century"/>
          <w:b/>
          <w:bCs/>
          <w:sz w:val="40"/>
          <w:szCs w:val="40"/>
          <w:u w:val="single"/>
        </w:rPr>
      </w:pPr>
      <w:r w:rsidRPr="00AD58C9">
        <w:rPr>
          <w:rFonts w:ascii="Century" w:eastAsia="Century" w:hAnsi="Century" w:cs="Century"/>
          <w:b/>
          <w:bCs/>
          <w:sz w:val="40"/>
          <w:szCs w:val="40"/>
          <w:u w:val="single"/>
        </w:rPr>
        <w:t>Modern Election Law &amp; Voting Rights</w:t>
      </w:r>
    </w:p>
    <w:p w:rsidR="00AD58C9" w:rsidRPr="00AD58C9" w:rsidRDefault="00AD58C9">
      <w:pPr>
        <w:pStyle w:val="BodyA"/>
        <w:jc w:val="center"/>
        <w:rPr>
          <w:rFonts w:ascii="Century" w:eastAsia="Century" w:hAnsi="Century" w:cs="Century"/>
          <w:b/>
          <w:bCs/>
          <w:sz w:val="40"/>
          <w:szCs w:val="40"/>
          <w:u w:val="single"/>
        </w:rPr>
      </w:pPr>
    </w:p>
    <w:p w:rsidR="005C1159" w:rsidRDefault="005C1159">
      <w:pPr>
        <w:pStyle w:val="BodyA"/>
        <w:jc w:val="center"/>
        <w:rPr>
          <w:rFonts w:ascii="Century" w:eastAsia="Century" w:hAnsi="Century" w:cs="Century"/>
          <w:b/>
          <w:bCs/>
          <w:sz w:val="24"/>
          <w:szCs w:val="24"/>
          <w:u w:val="single"/>
        </w:rPr>
      </w:pPr>
    </w:p>
    <w:p w:rsidR="0060319C" w:rsidRPr="00AD58C9" w:rsidRDefault="00514E57">
      <w:pPr>
        <w:pStyle w:val="BodyA"/>
        <w:jc w:val="center"/>
        <w:rPr>
          <w:rFonts w:ascii="Century" w:eastAsia="Century" w:hAnsi="Century" w:cs="Century"/>
          <w:b/>
          <w:bCs/>
          <w:sz w:val="40"/>
          <w:szCs w:val="40"/>
        </w:rPr>
      </w:pPr>
      <w:r w:rsidRPr="00AD58C9">
        <w:rPr>
          <w:rFonts w:ascii="Century" w:eastAsia="Century" w:hAnsi="Century" w:cs="Century"/>
          <w:b/>
          <w:bCs/>
          <w:sz w:val="40"/>
          <w:szCs w:val="40"/>
        </w:rPr>
        <w:t>The Role of Race &amp;</w:t>
      </w:r>
      <w:r w:rsidR="00DE79AE" w:rsidRPr="00AD58C9">
        <w:rPr>
          <w:rFonts w:ascii="Century" w:eastAsia="Century" w:hAnsi="Century" w:cs="Century"/>
          <w:b/>
          <w:bCs/>
          <w:sz w:val="40"/>
          <w:szCs w:val="40"/>
        </w:rPr>
        <w:t xml:space="preserve"> Partisanship</w:t>
      </w:r>
      <w:r w:rsidRPr="00AD58C9">
        <w:rPr>
          <w:rFonts w:ascii="Century" w:eastAsia="Century" w:hAnsi="Century" w:cs="Century"/>
          <w:b/>
          <w:bCs/>
          <w:sz w:val="40"/>
          <w:szCs w:val="40"/>
        </w:rPr>
        <w:t xml:space="preserve"> in Redistricting</w:t>
      </w:r>
    </w:p>
    <w:p w:rsidR="00791010" w:rsidRDefault="00791010">
      <w:pPr>
        <w:pStyle w:val="BodyA"/>
        <w:jc w:val="center"/>
        <w:rPr>
          <w:rFonts w:ascii="Century" w:eastAsia="Century" w:hAnsi="Century" w:cs="Century"/>
          <w:b/>
          <w:bCs/>
          <w:sz w:val="24"/>
          <w:szCs w:val="24"/>
          <w:u w:val="single"/>
        </w:rPr>
      </w:pPr>
    </w:p>
    <w:p w:rsidR="00791010" w:rsidRPr="00DE79AE" w:rsidRDefault="00791010">
      <w:pPr>
        <w:pStyle w:val="BodyA"/>
        <w:jc w:val="center"/>
        <w:rPr>
          <w:rFonts w:ascii="Century" w:eastAsia="Century" w:hAnsi="Century" w:cs="Century"/>
          <w:b/>
          <w:bCs/>
          <w:sz w:val="36"/>
          <w:szCs w:val="36"/>
        </w:rPr>
      </w:pPr>
      <w:r w:rsidRPr="00DE79AE">
        <w:rPr>
          <w:rFonts w:ascii="Century" w:eastAsia="Century" w:hAnsi="Century" w:cs="Century"/>
          <w:b/>
          <w:bCs/>
          <w:sz w:val="36"/>
          <w:szCs w:val="36"/>
        </w:rPr>
        <w:t>Benjamin E. Griffith</w:t>
      </w:r>
      <w:r w:rsidR="00A065F0">
        <w:rPr>
          <w:rFonts w:ascii="Century" w:eastAsia="Century" w:hAnsi="Century" w:cs="Century"/>
          <w:b/>
          <w:bCs/>
          <w:sz w:val="36"/>
          <w:szCs w:val="36"/>
        </w:rPr>
        <w:t>*</w:t>
      </w:r>
      <w:r w:rsidRPr="00DE79AE">
        <w:rPr>
          <w:rFonts w:ascii="Century" w:eastAsia="Century" w:hAnsi="Century" w:cs="Century"/>
          <w:b/>
          <w:bCs/>
          <w:sz w:val="36"/>
          <w:szCs w:val="36"/>
        </w:rPr>
        <w:t xml:space="preserve"> </w:t>
      </w:r>
    </w:p>
    <w:p w:rsidR="0060319C" w:rsidRDefault="0060319C">
      <w:pPr>
        <w:pStyle w:val="BodyA"/>
        <w:rPr>
          <w:rFonts w:ascii="Century" w:eastAsia="Century" w:hAnsi="Century" w:cs="Century"/>
          <w:b/>
          <w:bCs/>
          <w:sz w:val="24"/>
          <w:szCs w:val="24"/>
          <w:u w:val="single"/>
        </w:rPr>
      </w:pPr>
    </w:p>
    <w:p w:rsidR="0060319C" w:rsidRPr="00514E57" w:rsidRDefault="004C648A" w:rsidP="004C648A">
      <w:pPr>
        <w:pStyle w:val="BodyA"/>
        <w:jc w:val="center"/>
        <w:rPr>
          <w:rFonts w:ascii="Century" w:eastAsia="Century" w:hAnsi="Century" w:cs="Century"/>
          <w:bCs/>
          <w:sz w:val="24"/>
          <w:szCs w:val="24"/>
        </w:rPr>
      </w:pPr>
      <w:r>
        <w:rPr>
          <w:rFonts w:ascii="Century" w:eastAsia="Century" w:hAnsi="Century" w:cs="Century"/>
          <w:b/>
          <w:bCs/>
          <w:sz w:val="24"/>
          <w:szCs w:val="24"/>
        </w:rPr>
        <w:t>Introduction</w:t>
      </w:r>
      <w:r w:rsidR="00514E57">
        <w:rPr>
          <w:rFonts w:ascii="Century" w:eastAsia="Century" w:hAnsi="Century" w:cs="Century"/>
          <w:b/>
          <w:bCs/>
          <w:sz w:val="24"/>
          <w:szCs w:val="24"/>
          <w:u w:val="single"/>
        </w:rPr>
        <w:t xml:space="preserve"> </w:t>
      </w:r>
    </w:p>
    <w:p w:rsidR="005C1159" w:rsidRDefault="005C1159">
      <w:pPr>
        <w:pStyle w:val="BodyA"/>
        <w:rPr>
          <w:rFonts w:ascii="Century" w:eastAsia="Century" w:hAnsi="Century" w:cs="Century"/>
          <w:b/>
          <w:bCs/>
          <w:sz w:val="24"/>
          <w:szCs w:val="24"/>
          <w:u w:val="single"/>
        </w:rPr>
      </w:pPr>
    </w:p>
    <w:p w:rsidR="00514E57" w:rsidRDefault="00DE79AE" w:rsidP="005A67AB">
      <w:pPr>
        <w:pStyle w:val="BodyA"/>
        <w:ind w:firstLine="720"/>
        <w:rPr>
          <w:rFonts w:ascii="Century" w:eastAsia="Century" w:hAnsi="Century" w:cs="Century"/>
          <w:bCs/>
          <w:sz w:val="24"/>
          <w:szCs w:val="24"/>
        </w:rPr>
      </w:pPr>
      <w:r>
        <w:rPr>
          <w:rFonts w:ascii="Century" w:eastAsia="Century" w:hAnsi="Century" w:cs="Century"/>
          <w:bCs/>
          <w:sz w:val="24"/>
          <w:szCs w:val="24"/>
        </w:rPr>
        <w:t xml:space="preserve">The </w:t>
      </w:r>
      <w:r w:rsidR="00514E57">
        <w:rPr>
          <w:rFonts w:ascii="Century" w:eastAsia="Century" w:hAnsi="Century" w:cs="Century"/>
          <w:bCs/>
          <w:sz w:val="24"/>
          <w:szCs w:val="24"/>
        </w:rPr>
        <w:t xml:space="preserve">Supreme Court has long attempted to reach a consensus on </w:t>
      </w:r>
      <w:r>
        <w:rPr>
          <w:rFonts w:ascii="Century" w:eastAsia="Century" w:hAnsi="Century" w:cs="Century"/>
          <w:bCs/>
          <w:sz w:val="24"/>
          <w:szCs w:val="24"/>
        </w:rPr>
        <w:t>the l</w:t>
      </w:r>
      <w:r w:rsidR="005A67AB">
        <w:rPr>
          <w:rFonts w:ascii="Century" w:eastAsia="Century" w:hAnsi="Century" w:cs="Century"/>
          <w:bCs/>
          <w:sz w:val="24"/>
          <w:szCs w:val="24"/>
        </w:rPr>
        <w:t>egitima</w:t>
      </w:r>
      <w:r w:rsidR="00514E57">
        <w:rPr>
          <w:rFonts w:ascii="Century" w:eastAsia="Century" w:hAnsi="Century" w:cs="Century"/>
          <w:bCs/>
          <w:sz w:val="24"/>
          <w:szCs w:val="24"/>
        </w:rPr>
        <w:t xml:space="preserve">te role </w:t>
      </w:r>
      <w:r w:rsidR="005A67AB">
        <w:rPr>
          <w:rFonts w:ascii="Century" w:eastAsia="Century" w:hAnsi="Century" w:cs="Century"/>
          <w:bCs/>
          <w:sz w:val="24"/>
          <w:szCs w:val="24"/>
        </w:rPr>
        <w:t>of race</w:t>
      </w:r>
      <w:r w:rsidR="00A32B27">
        <w:rPr>
          <w:rFonts w:ascii="Century" w:eastAsia="Century" w:hAnsi="Century" w:cs="Century"/>
          <w:bCs/>
          <w:sz w:val="24"/>
          <w:szCs w:val="24"/>
        </w:rPr>
        <w:t xml:space="preserve"> and </w:t>
      </w:r>
      <w:r w:rsidR="00514E57">
        <w:rPr>
          <w:rFonts w:ascii="Century" w:eastAsia="Century" w:hAnsi="Century" w:cs="Century"/>
          <w:bCs/>
          <w:sz w:val="24"/>
          <w:szCs w:val="24"/>
        </w:rPr>
        <w:t xml:space="preserve">political </w:t>
      </w:r>
      <w:r w:rsidR="00A32B27">
        <w:rPr>
          <w:rFonts w:ascii="Century" w:eastAsia="Century" w:hAnsi="Century" w:cs="Century"/>
          <w:bCs/>
          <w:sz w:val="24"/>
          <w:szCs w:val="24"/>
        </w:rPr>
        <w:t>partisanship</w:t>
      </w:r>
      <w:r w:rsidR="005A67AB">
        <w:rPr>
          <w:rFonts w:ascii="Century" w:eastAsia="Century" w:hAnsi="Century" w:cs="Century"/>
          <w:bCs/>
          <w:sz w:val="24"/>
          <w:szCs w:val="24"/>
        </w:rPr>
        <w:t xml:space="preserve"> </w:t>
      </w:r>
      <w:r>
        <w:rPr>
          <w:rFonts w:ascii="Century" w:eastAsia="Century" w:hAnsi="Century" w:cs="Century"/>
          <w:bCs/>
          <w:sz w:val="24"/>
          <w:szCs w:val="24"/>
        </w:rPr>
        <w:t>in the redistricting process</w:t>
      </w:r>
      <w:r w:rsidR="00514E57">
        <w:rPr>
          <w:rFonts w:ascii="Century" w:eastAsia="Century" w:hAnsi="Century" w:cs="Century"/>
          <w:bCs/>
          <w:sz w:val="24"/>
          <w:szCs w:val="24"/>
        </w:rPr>
        <w:t xml:space="preserve">. </w:t>
      </w:r>
      <w:r w:rsidR="00AD58C9">
        <w:rPr>
          <w:rFonts w:ascii="Century" w:eastAsia="Century" w:hAnsi="Century" w:cs="Century"/>
          <w:bCs/>
          <w:sz w:val="24"/>
          <w:szCs w:val="24"/>
        </w:rPr>
        <w:t>I</w:t>
      </w:r>
      <w:r w:rsidR="0020121F">
        <w:rPr>
          <w:rFonts w:ascii="Century" w:eastAsia="Century" w:hAnsi="Century" w:cs="Century"/>
          <w:bCs/>
          <w:sz w:val="24"/>
          <w:szCs w:val="24"/>
        </w:rPr>
        <w:t>n a Presidential Election year</w:t>
      </w:r>
      <w:r w:rsidR="00514E57">
        <w:rPr>
          <w:rFonts w:ascii="Century" w:eastAsia="Century" w:hAnsi="Century" w:cs="Century"/>
          <w:bCs/>
          <w:sz w:val="24"/>
          <w:szCs w:val="24"/>
        </w:rPr>
        <w:t xml:space="preserve"> following the </w:t>
      </w:r>
      <w:r w:rsidR="00AD58C9">
        <w:rPr>
          <w:rFonts w:ascii="Century" w:eastAsia="Century" w:hAnsi="Century" w:cs="Century"/>
          <w:bCs/>
          <w:sz w:val="24"/>
          <w:szCs w:val="24"/>
        </w:rPr>
        <w:t xml:space="preserve">February 13, 2016 </w:t>
      </w:r>
      <w:r w:rsidR="00514E57">
        <w:rPr>
          <w:rFonts w:ascii="Century" w:eastAsia="Century" w:hAnsi="Century" w:cs="Century"/>
          <w:bCs/>
          <w:sz w:val="24"/>
          <w:szCs w:val="24"/>
        </w:rPr>
        <w:t>death of Justice Antonin Scalia</w:t>
      </w:r>
      <w:r w:rsidR="00AD58C9">
        <w:rPr>
          <w:rFonts w:ascii="Century" w:eastAsia="Century" w:hAnsi="Century" w:cs="Century"/>
          <w:bCs/>
          <w:sz w:val="24"/>
          <w:szCs w:val="24"/>
        </w:rPr>
        <w:t>, an ideologically divided Court is confronting this issue.</w:t>
      </w:r>
      <w:r w:rsidR="00514E57">
        <w:rPr>
          <w:rFonts w:ascii="Century" w:eastAsia="Century" w:hAnsi="Century" w:cs="Century"/>
          <w:bCs/>
          <w:sz w:val="24"/>
          <w:szCs w:val="24"/>
        </w:rPr>
        <w:t xml:space="preserve"> </w:t>
      </w:r>
    </w:p>
    <w:p w:rsidR="00514E57" w:rsidRDefault="00514E57" w:rsidP="005A67AB">
      <w:pPr>
        <w:pStyle w:val="BodyA"/>
        <w:ind w:firstLine="720"/>
        <w:rPr>
          <w:rFonts w:ascii="Century" w:eastAsia="Century" w:hAnsi="Century" w:cs="Century"/>
          <w:bCs/>
          <w:sz w:val="24"/>
          <w:szCs w:val="24"/>
        </w:rPr>
      </w:pPr>
    </w:p>
    <w:p w:rsidR="00514E57" w:rsidRDefault="0020121F" w:rsidP="005A67AB">
      <w:pPr>
        <w:pStyle w:val="BodyA"/>
        <w:ind w:firstLine="720"/>
        <w:rPr>
          <w:rFonts w:ascii="Century" w:eastAsia="Century" w:hAnsi="Century" w:cs="Century"/>
          <w:bCs/>
          <w:sz w:val="24"/>
          <w:szCs w:val="24"/>
        </w:rPr>
      </w:pPr>
      <w:r>
        <w:rPr>
          <w:rFonts w:ascii="Century" w:eastAsia="Century" w:hAnsi="Century" w:cs="Century"/>
          <w:bCs/>
          <w:sz w:val="24"/>
          <w:szCs w:val="24"/>
        </w:rPr>
        <w:t xml:space="preserve">This </w:t>
      </w:r>
      <w:r w:rsidR="00AD58C9">
        <w:rPr>
          <w:rFonts w:ascii="Century" w:eastAsia="Century" w:hAnsi="Century" w:cs="Century"/>
          <w:bCs/>
          <w:sz w:val="24"/>
          <w:szCs w:val="24"/>
        </w:rPr>
        <w:t xml:space="preserve">presentation </w:t>
      </w:r>
      <w:r>
        <w:rPr>
          <w:rFonts w:ascii="Century" w:eastAsia="Century" w:hAnsi="Century" w:cs="Century"/>
          <w:bCs/>
          <w:sz w:val="24"/>
          <w:szCs w:val="24"/>
        </w:rPr>
        <w:t xml:space="preserve">focuses </w:t>
      </w:r>
      <w:r w:rsidR="00B66444">
        <w:rPr>
          <w:rFonts w:ascii="Century" w:eastAsia="Century" w:hAnsi="Century" w:cs="Century"/>
          <w:bCs/>
          <w:sz w:val="24"/>
          <w:szCs w:val="24"/>
        </w:rPr>
        <w:t>on t</w:t>
      </w:r>
      <w:r w:rsidR="00B66444" w:rsidRPr="00B66444">
        <w:rPr>
          <w:rFonts w:ascii="Century" w:eastAsia="Century" w:hAnsi="Century" w:cs="Century"/>
          <w:bCs/>
          <w:sz w:val="24"/>
          <w:szCs w:val="24"/>
        </w:rPr>
        <w:t xml:space="preserve">he </w:t>
      </w:r>
      <w:r>
        <w:rPr>
          <w:rFonts w:ascii="Century" w:eastAsia="Century" w:hAnsi="Century" w:cs="Century"/>
          <w:bCs/>
          <w:sz w:val="24"/>
          <w:szCs w:val="24"/>
        </w:rPr>
        <w:t>role of race and partisanship as they relate</w:t>
      </w:r>
      <w:r w:rsidR="00B66444" w:rsidRPr="00B66444">
        <w:rPr>
          <w:rFonts w:ascii="Century" w:eastAsia="Century" w:hAnsi="Century" w:cs="Century"/>
          <w:bCs/>
          <w:sz w:val="24"/>
          <w:szCs w:val="24"/>
        </w:rPr>
        <w:t xml:space="preserve"> to </w:t>
      </w:r>
      <w:r>
        <w:rPr>
          <w:rFonts w:ascii="Century" w:eastAsia="Century" w:hAnsi="Century" w:cs="Century"/>
          <w:bCs/>
          <w:sz w:val="24"/>
          <w:szCs w:val="24"/>
        </w:rPr>
        <w:t xml:space="preserve">the creation </w:t>
      </w:r>
      <w:r w:rsidR="00AD58C9">
        <w:rPr>
          <w:rFonts w:ascii="Century" w:eastAsia="Century" w:hAnsi="Century" w:cs="Century"/>
          <w:bCs/>
          <w:sz w:val="24"/>
          <w:szCs w:val="24"/>
        </w:rPr>
        <w:t xml:space="preserve">of electoral districts. The redistricting process is one in which the Court has taken </w:t>
      </w:r>
      <w:r w:rsidR="00BF4C34">
        <w:rPr>
          <w:rFonts w:ascii="Century" w:eastAsia="Century" w:hAnsi="Century" w:cs="Century"/>
          <w:bCs/>
          <w:sz w:val="24"/>
          <w:szCs w:val="24"/>
        </w:rPr>
        <w:t>divergent paths over the six decades since it entered the po</w:t>
      </w:r>
      <w:r w:rsidR="00AD58C9">
        <w:rPr>
          <w:rFonts w:ascii="Century" w:eastAsia="Century" w:hAnsi="Century" w:cs="Century"/>
          <w:bCs/>
          <w:sz w:val="24"/>
          <w:szCs w:val="24"/>
        </w:rPr>
        <w:t>litical thicket</w:t>
      </w:r>
      <w:r w:rsidR="00B66444" w:rsidRPr="00B66444">
        <w:rPr>
          <w:rFonts w:ascii="Century" w:eastAsia="Century" w:hAnsi="Century" w:cs="Century"/>
          <w:bCs/>
          <w:sz w:val="24"/>
          <w:szCs w:val="24"/>
        </w:rPr>
        <w:t>.</w:t>
      </w:r>
    </w:p>
    <w:p w:rsidR="00514E57" w:rsidRDefault="00514E57" w:rsidP="005A67AB">
      <w:pPr>
        <w:pStyle w:val="BodyA"/>
        <w:ind w:firstLine="720"/>
        <w:rPr>
          <w:rFonts w:ascii="Century" w:eastAsia="Century" w:hAnsi="Century" w:cs="Century"/>
          <w:bCs/>
          <w:sz w:val="24"/>
          <w:szCs w:val="24"/>
        </w:rPr>
      </w:pPr>
    </w:p>
    <w:p w:rsidR="00514E57" w:rsidRDefault="00BF4C34" w:rsidP="005A67AB">
      <w:pPr>
        <w:pStyle w:val="BodyA"/>
        <w:ind w:firstLine="720"/>
        <w:rPr>
          <w:rFonts w:ascii="Century" w:eastAsia="Century" w:hAnsi="Century" w:cs="Century"/>
          <w:bCs/>
          <w:sz w:val="24"/>
          <w:szCs w:val="24"/>
        </w:rPr>
      </w:pPr>
      <w:r>
        <w:rPr>
          <w:rFonts w:ascii="Century" w:eastAsia="Century" w:hAnsi="Century" w:cs="Century"/>
          <w:bCs/>
          <w:sz w:val="24"/>
          <w:szCs w:val="24"/>
        </w:rPr>
        <w:t>In a</w:t>
      </w:r>
      <w:r w:rsidR="00514E57">
        <w:rPr>
          <w:rFonts w:ascii="Century" w:eastAsia="Century" w:hAnsi="Century" w:cs="Century"/>
          <w:bCs/>
          <w:sz w:val="24"/>
          <w:szCs w:val="24"/>
        </w:rPr>
        <w:t xml:space="preserve"> timely effort to educate voters</w:t>
      </w:r>
      <w:r w:rsidR="00047CAD">
        <w:rPr>
          <w:rFonts w:ascii="Century" w:eastAsia="Century" w:hAnsi="Century" w:cs="Century"/>
          <w:bCs/>
          <w:sz w:val="24"/>
          <w:szCs w:val="24"/>
        </w:rPr>
        <w:t xml:space="preserve">, promote electoral access, mobilize the electorate </w:t>
      </w:r>
      <w:r w:rsidR="00514E57">
        <w:rPr>
          <w:rFonts w:ascii="Century" w:eastAsia="Century" w:hAnsi="Century" w:cs="Century"/>
          <w:bCs/>
          <w:sz w:val="24"/>
          <w:szCs w:val="24"/>
        </w:rPr>
        <w:t xml:space="preserve">and encourage a strong voter turnout in this Presidential Election year, the American Bar Association has taken a significant step </w:t>
      </w:r>
      <w:r w:rsidR="00047CAD">
        <w:rPr>
          <w:rFonts w:ascii="Century" w:eastAsia="Century" w:hAnsi="Century" w:cs="Century"/>
          <w:bCs/>
          <w:sz w:val="24"/>
          <w:szCs w:val="24"/>
        </w:rPr>
        <w:t xml:space="preserve">by launching </w:t>
      </w:r>
      <w:r w:rsidR="00514E57">
        <w:rPr>
          <w:rFonts w:ascii="Century" w:eastAsia="Century" w:hAnsi="Century" w:cs="Century"/>
          <w:bCs/>
          <w:sz w:val="24"/>
          <w:szCs w:val="24"/>
        </w:rPr>
        <w:t xml:space="preserve">the publication of </w:t>
      </w:r>
      <w:r w:rsidR="00514E57" w:rsidRPr="00514E57">
        <w:rPr>
          <w:rFonts w:ascii="Century" w:eastAsia="Century" w:hAnsi="Century" w:cs="Century"/>
          <w:bCs/>
          <w:i/>
          <w:sz w:val="24"/>
          <w:szCs w:val="24"/>
        </w:rPr>
        <w:t>America Votes! Challenges to Modern Election Law and Voting Rights</w:t>
      </w:r>
      <w:r w:rsidR="00514E57">
        <w:rPr>
          <w:rFonts w:ascii="Century" w:eastAsia="Century" w:hAnsi="Century" w:cs="Century"/>
          <w:bCs/>
          <w:sz w:val="24"/>
          <w:szCs w:val="24"/>
        </w:rPr>
        <w:t xml:space="preserve"> (3</w:t>
      </w:r>
      <w:r w:rsidR="00514E57" w:rsidRPr="00514E57">
        <w:rPr>
          <w:rFonts w:ascii="Century" w:eastAsia="Century" w:hAnsi="Century" w:cs="Century"/>
          <w:bCs/>
          <w:sz w:val="24"/>
          <w:szCs w:val="24"/>
          <w:vertAlign w:val="superscript"/>
        </w:rPr>
        <w:t>rd</w:t>
      </w:r>
      <w:r w:rsidR="00514E57">
        <w:rPr>
          <w:rFonts w:ascii="Century" w:eastAsia="Century" w:hAnsi="Century" w:cs="Century"/>
          <w:bCs/>
          <w:sz w:val="24"/>
          <w:szCs w:val="24"/>
        </w:rPr>
        <w:t xml:space="preserve"> ed., 2016).</w:t>
      </w:r>
      <w:r w:rsidR="00047CAD">
        <w:rPr>
          <w:rFonts w:ascii="Century" w:eastAsia="Century" w:hAnsi="Century" w:cs="Century"/>
          <w:bCs/>
          <w:sz w:val="24"/>
          <w:szCs w:val="24"/>
        </w:rPr>
        <w:t xml:space="preserve"> Consisting of 17 chapters by many the nation’s top academic ex</w:t>
      </w:r>
      <w:r w:rsidR="00AD58C9">
        <w:rPr>
          <w:rFonts w:ascii="Century" w:eastAsia="Century" w:hAnsi="Century" w:cs="Century"/>
          <w:bCs/>
          <w:sz w:val="24"/>
          <w:szCs w:val="24"/>
        </w:rPr>
        <w:t xml:space="preserve">perts and seasoned litigators, </w:t>
      </w:r>
      <w:r w:rsidR="00047CAD" w:rsidRPr="00047CAD">
        <w:rPr>
          <w:rFonts w:ascii="Century" w:eastAsia="Century" w:hAnsi="Century" w:cs="Century"/>
          <w:bCs/>
          <w:i/>
          <w:sz w:val="24"/>
          <w:szCs w:val="24"/>
        </w:rPr>
        <w:t>America Votes!</w:t>
      </w:r>
      <w:r w:rsidR="00047CAD">
        <w:rPr>
          <w:rFonts w:ascii="Century" w:eastAsia="Century" w:hAnsi="Century" w:cs="Century"/>
          <w:bCs/>
          <w:sz w:val="24"/>
          <w:szCs w:val="24"/>
        </w:rPr>
        <w:t xml:space="preserve"> addresses voter suppression, vote dilution, voter ID, language minority protection, citizenship and immigration issues and many hot topics in this field of the law. It is a must-read for anyone interested in the f</w:t>
      </w:r>
      <w:r w:rsidR="000748B5">
        <w:rPr>
          <w:rFonts w:ascii="Century" w:eastAsia="Century" w:hAnsi="Century" w:cs="Century"/>
          <w:bCs/>
          <w:sz w:val="24"/>
          <w:szCs w:val="24"/>
        </w:rPr>
        <w:t>uture of our democracy</w:t>
      </w:r>
      <w:r w:rsidR="00AD58C9">
        <w:rPr>
          <w:rFonts w:ascii="Century" w:eastAsia="Century" w:hAnsi="Century" w:cs="Century"/>
          <w:bCs/>
          <w:sz w:val="24"/>
          <w:szCs w:val="24"/>
        </w:rPr>
        <w:t xml:space="preserve">. Among the key issues is redistricting and the role of race and partisanship in that process, chiefly through the lens of racial and political gerrymandering claims. </w:t>
      </w:r>
      <w:r w:rsidR="000748B5">
        <w:rPr>
          <w:rFonts w:ascii="Century" w:eastAsia="Century" w:hAnsi="Century" w:cs="Century"/>
          <w:bCs/>
          <w:sz w:val="24"/>
          <w:szCs w:val="24"/>
        </w:rPr>
        <w:t xml:space="preserve"> </w:t>
      </w:r>
    </w:p>
    <w:p w:rsidR="00514E57" w:rsidRDefault="00514E57" w:rsidP="005A67AB">
      <w:pPr>
        <w:pStyle w:val="BodyA"/>
        <w:ind w:firstLine="720"/>
        <w:rPr>
          <w:rFonts w:ascii="Century" w:eastAsia="Century" w:hAnsi="Century" w:cs="Century"/>
          <w:bCs/>
          <w:sz w:val="24"/>
          <w:szCs w:val="24"/>
        </w:rPr>
      </w:pPr>
    </w:p>
    <w:p w:rsidR="00346219" w:rsidRDefault="00346219" w:rsidP="005A67AB">
      <w:pPr>
        <w:pStyle w:val="BodyA"/>
        <w:ind w:firstLine="720"/>
        <w:rPr>
          <w:rFonts w:ascii="Century" w:eastAsia="Century" w:hAnsi="Century" w:cs="Century"/>
          <w:bCs/>
          <w:sz w:val="24"/>
          <w:szCs w:val="24"/>
        </w:rPr>
      </w:pPr>
    </w:p>
    <w:p w:rsidR="00346219" w:rsidRDefault="00346219" w:rsidP="005A67AB">
      <w:pPr>
        <w:pStyle w:val="BodyA"/>
        <w:ind w:firstLine="720"/>
        <w:rPr>
          <w:rFonts w:ascii="Century" w:eastAsia="Century" w:hAnsi="Century" w:cs="Century"/>
          <w:bCs/>
          <w:sz w:val="24"/>
          <w:szCs w:val="24"/>
        </w:rPr>
      </w:pPr>
    </w:p>
    <w:p w:rsidR="00346219" w:rsidRDefault="00346219" w:rsidP="005A67AB">
      <w:pPr>
        <w:pStyle w:val="BodyA"/>
        <w:ind w:firstLine="720"/>
        <w:rPr>
          <w:rFonts w:ascii="Century" w:eastAsia="Century" w:hAnsi="Century" w:cs="Century"/>
          <w:bCs/>
          <w:sz w:val="24"/>
          <w:szCs w:val="24"/>
        </w:rPr>
      </w:pPr>
    </w:p>
    <w:p w:rsidR="00B66444" w:rsidRPr="000748B5" w:rsidRDefault="00B66444" w:rsidP="00B66444">
      <w:pPr>
        <w:pStyle w:val="BodyA"/>
        <w:ind w:left="2160" w:firstLine="720"/>
        <w:rPr>
          <w:rFonts w:ascii="Century" w:eastAsia="Century" w:hAnsi="Century" w:cs="Century"/>
          <w:b/>
          <w:bCs/>
          <w:sz w:val="24"/>
          <w:szCs w:val="24"/>
        </w:rPr>
      </w:pPr>
      <w:r w:rsidRPr="000748B5">
        <w:rPr>
          <w:rFonts w:ascii="Century" w:eastAsia="Century" w:hAnsi="Century" w:cs="Century"/>
          <w:b/>
          <w:bCs/>
          <w:sz w:val="24"/>
          <w:szCs w:val="24"/>
        </w:rPr>
        <w:t>Racial Gerrymandering Claims</w:t>
      </w:r>
    </w:p>
    <w:p w:rsidR="00B66444" w:rsidRDefault="00B66444" w:rsidP="005A67AB">
      <w:pPr>
        <w:pStyle w:val="BodyA"/>
        <w:ind w:firstLine="720"/>
        <w:rPr>
          <w:rFonts w:ascii="Century" w:eastAsia="Century" w:hAnsi="Century" w:cs="Century"/>
          <w:bCs/>
          <w:sz w:val="24"/>
          <w:szCs w:val="24"/>
        </w:rPr>
      </w:pPr>
    </w:p>
    <w:p w:rsidR="004C648A" w:rsidRDefault="005A67AB" w:rsidP="004C648A">
      <w:pPr>
        <w:ind w:firstLine="720"/>
        <w:rPr>
          <w:rFonts w:ascii="Century" w:eastAsia="Century" w:hAnsi="Century" w:cs="Century"/>
          <w:bCs/>
        </w:rPr>
      </w:pPr>
      <w:r>
        <w:rPr>
          <w:rFonts w:ascii="Century" w:eastAsia="Century" w:hAnsi="Century" w:cs="Century"/>
          <w:bCs/>
        </w:rPr>
        <w:t>Th</w:t>
      </w:r>
      <w:r w:rsidR="005305ED">
        <w:rPr>
          <w:rFonts w:ascii="Century" w:eastAsia="Century" w:hAnsi="Century" w:cs="Century"/>
          <w:bCs/>
        </w:rPr>
        <w:t>e law governing racial gerrymanders has b</w:t>
      </w:r>
      <w:r w:rsidR="00132BDC">
        <w:rPr>
          <w:rFonts w:ascii="Century" w:eastAsia="Century" w:hAnsi="Century" w:cs="Century"/>
          <w:bCs/>
        </w:rPr>
        <w:t xml:space="preserve">ecome more clearly established since the Supreme Court’s landmark 1993 decision in </w:t>
      </w:r>
      <w:r w:rsidR="00132BDC" w:rsidRPr="00132BDC">
        <w:rPr>
          <w:rFonts w:ascii="Century" w:eastAsia="Century" w:hAnsi="Century" w:cs="Century"/>
          <w:bCs/>
          <w:i/>
        </w:rPr>
        <w:t>Shaw v. Reno</w:t>
      </w:r>
      <w:r w:rsidR="004C648A">
        <w:rPr>
          <w:rFonts w:ascii="Century" w:eastAsia="Century" w:hAnsi="Century" w:cs="Century"/>
          <w:bCs/>
        </w:rPr>
        <w:t xml:space="preserve">. Moreover, </w:t>
      </w:r>
      <w:r w:rsidR="00B66444">
        <w:rPr>
          <w:rFonts w:ascii="Century" w:eastAsia="Century" w:hAnsi="Century" w:cs="Century"/>
          <w:bCs/>
        </w:rPr>
        <w:t xml:space="preserve">the </w:t>
      </w:r>
      <w:r w:rsidR="00B66444" w:rsidRPr="00B66444">
        <w:rPr>
          <w:rFonts w:ascii="Century" w:eastAsia="Century" w:hAnsi="Century" w:cs="Century"/>
          <w:bCs/>
        </w:rPr>
        <w:t xml:space="preserve">federal courts </w:t>
      </w:r>
      <w:r w:rsidR="00B66444">
        <w:rPr>
          <w:rFonts w:ascii="Century" w:eastAsia="Century" w:hAnsi="Century" w:cs="Century"/>
          <w:bCs/>
        </w:rPr>
        <w:t xml:space="preserve">have been vigilant in their efforts </w:t>
      </w:r>
      <w:r w:rsidR="00B66444" w:rsidRPr="00B66444">
        <w:rPr>
          <w:rFonts w:ascii="Century" w:eastAsia="Century" w:hAnsi="Century" w:cs="Century"/>
          <w:bCs/>
        </w:rPr>
        <w:t>to ensure that the districting process remains free from constitutionally prohibited racial discrimination</w:t>
      </w:r>
      <w:r w:rsidR="00B66444">
        <w:rPr>
          <w:rFonts w:ascii="Century" w:eastAsia="Century" w:hAnsi="Century" w:cs="Century"/>
          <w:bCs/>
        </w:rPr>
        <w:t xml:space="preserve">. </w:t>
      </w:r>
    </w:p>
    <w:p w:rsidR="004C648A" w:rsidRDefault="004C648A" w:rsidP="004C648A">
      <w:pPr>
        <w:ind w:firstLine="720"/>
        <w:rPr>
          <w:rFonts w:ascii="Century" w:eastAsia="Century" w:hAnsi="Century" w:cs="Century"/>
          <w:bCs/>
        </w:rPr>
      </w:pPr>
    </w:p>
    <w:p w:rsidR="004C648A" w:rsidRDefault="00132BDC" w:rsidP="004C648A">
      <w:pPr>
        <w:ind w:firstLine="720"/>
        <w:rPr>
          <w:rFonts w:ascii="Century" w:eastAsia="Century" w:hAnsi="Century" w:cs="Century"/>
          <w:bCs/>
        </w:rPr>
      </w:pPr>
      <w:r w:rsidRPr="00132BDC">
        <w:rPr>
          <w:rFonts w:ascii="Century" w:eastAsia="Century" w:hAnsi="Century" w:cs="Century"/>
          <w:bCs/>
        </w:rPr>
        <w:t xml:space="preserve">Equal Protection jurisprudence in the wake of the analytical framework of </w:t>
      </w:r>
      <w:r w:rsidRPr="00132BDC">
        <w:rPr>
          <w:rFonts w:ascii="Century" w:eastAsia="Century" w:hAnsi="Century" w:cs="Century"/>
          <w:bCs/>
          <w:i/>
        </w:rPr>
        <w:t>Shaw v. Reno</w:t>
      </w:r>
      <w:r w:rsidRPr="00132BDC">
        <w:rPr>
          <w:rFonts w:ascii="Century" w:eastAsia="Century" w:hAnsi="Century" w:cs="Century"/>
          <w:bCs/>
        </w:rPr>
        <w:t xml:space="preserve"> gave rise to </w:t>
      </w:r>
      <w:r w:rsidR="004C648A">
        <w:rPr>
          <w:rFonts w:ascii="Century" w:eastAsia="Century" w:hAnsi="Century" w:cs="Century"/>
          <w:bCs/>
        </w:rPr>
        <w:t>“</w:t>
      </w:r>
      <w:r w:rsidRPr="004C648A">
        <w:rPr>
          <w:rFonts w:ascii="Century" w:eastAsia="Century" w:hAnsi="Century" w:cs="Century"/>
          <w:bCs/>
          <w:i/>
        </w:rPr>
        <w:t>Shaw</w:t>
      </w:r>
      <w:r w:rsidRPr="00132BDC">
        <w:rPr>
          <w:rFonts w:ascii="Century" w:eastAsia="Century" w:hAnsi="Century" w:cs="Century"/>
          <w:bCs/>
        </w:rPr>
        <w:t xml:space="preserve"> violations</w:t>
      </w:r>
      <w:r w:rsidR="004C648A">
        <w:rPr>
          <w:rFonts w:ascii="Century" w:eastAsia="Century" w:hAnsi="Century" w:cs="Century"/>
          <w:bCs/>
        </w:rPr>
        <w:t>,</w:t>
      </w:r>
      <w:r w:rsidRPr="00132BDC">
        <w:rPr>
          <w:rFonts w:ascii="Century" w:eastAsia="Century" w:hAnsi="Century" w:cs="Century"/>
          <w:bCs/>
        </w:rPr>
        <w:t xml:space="preserve">" </w:t>
      </w:r>
      <w:r w:rsidR="003D3E8E">
        <w:rPr>
          <w:rFonts w:ascii="Century" w:eastAsia="Century" w:hAnsi="Century" w:cs="Century"/>
          <w:bCs/>
        </w:rPr>
        <w:t xml:space="preserve">which can </w:t>
      </w:r>
      <w:r w:rsidR="003D3E8E" w:rsidRPr="003D3E8E">
        <w:rPr>
          <w:rFonts w:ascii="Century" w:eastAsia="Century" w:hAnsi="Century" w:cs="Century"/>
          <w:bCs/>
        </w:rPr>
        <w:t xml:space="preserve">occur when "race is the predominant consideration in drawing the district lines such that the legislature subordinates traditional race-neutral principles to racial considerations." </w:t>
      </w:r>
      <w:r w:rsidR="003D3E8E" w:rsidRPr="003D3E8E">
        <w:rPr>
          <w:rFonts w:ascii="Century" w:eastAsia="Century" w:hAnsi="Century" w:cs="Century"/>
          <w:bCs/>
          <w:i/>
        </w:rPr>
        <w:t>Shaw v. Hunt</w:t>
      </w:r>
      <w:r w:rsidR="003D3E8E" w:rsidRPr="003D3E8E">
        <w:rPr>
          <w:rFonts w:ascii="Century" w:eastAsia="Century" w:hAnsi="Century" w:cs="Century"/>
          <w:bCs/>
        </w:rPr>
        <w:t>, 517 U.S. 899, 907, 116 S.Ct. 1894, 135 L.Ed.2d 207 (1996) (</w:t>
      </w:r>
      <w:r w:rsidR="003D3E8E" w:rsidRPr="003D3E8E">
        <w:rPr>
          <w:rFonts w:ascii="Century" w:eastAsia="Century" w:hAnsi="Century" w:cs="Century"/>
          <w:bCs/>
          <w:i/>
        </w:rPr>
        <w:t>Shaw II</w:t>
      </w:r>
      <w:r w:rsidR="003D3E8E" w:rsidRPr="003D3E8E">
        <w:rPr>
          <w:rFonts w:ascii="Century" w:eastAsia="Century" w:hAnsi="Century" w:cs="Century"/>
          <w:bCs/>
        </w:rPr>
        <w:t>).</w:t>
      </w:r>
      <w:r w:rsidR="003D3E8E">
        <w:rPr>
          <w:rFonts w:ascii="Century" w:eastAsia="Century" w:hAnsi="Century" w:cs="Century"/>
          <w:bCs/>
        </w:rPr>
        <w:t xml:space="preserve"> </w:t>
      </w:r>
      <w:r w:rsidR="00BF4C34">
        <w:rPr>
          <w:rFonts w:ascii="Century" w:eastAsia="Century" w:hAnsi="Century" w:cs="Century"/>
          <w:bCs/>
        </w:rPr>
        <w:t xml:space="preserve">Classifying </w:t>
      </w:r>
      <w:r w:rsidRPr="00132BDC">
        <w:rPr>
          <w:rFonts w:ascii="Century" w:eastAsia="Century" w:hAnsi="Century" w:cs="Century"/>
          <w:bCs/>
        </w:rPr>
        <w:t xml:space="preserve">citizens </w:t>
      </w:r>
      <w:r w:rsidR="004C648A">
        <w:rPr>
          <w:rFonts w:ascii="Century" w:eastAsia="Century" w:hAnsi="Century" w:cs="Century"/>
          <w:bCs/>
        </w:rPr>
        <w:t xml:space="preserve">predominately </w:t>
      </w:r>
      <w:r w:rsidRPr="00132BDC">
        <w:rPr>
          <w:rFonts w:ascii="Century" w:eastAsia="Century" w:hAnsi="Century" w:cs="Century"/>
          <w:bCs/>
        </w:rPr>
        <w:t>by race</w:t>
      </w:r>
      <w:r w:rsidR="004C648A">
        <w:rPr>
          <w:rFonts w:ascii="Century" w:eastAsia="Century" w:hAnsi="Century" w:cs="Century"/>
          <w:bCs/>
        </w:rPr>
        <w:t xml:space="preserve"> without regard to traditional race-neutral redistricting principles</w:t>
      </w:r>
      <w:r w:rsidR="00537595">
        <w:rPr>
          <w:rFonts w:ascii="Century" w:eastAsia="Century" w:hAnsi="Century" w:cs="Century"/>
          <w:bCs/>
        </w:rPr>
        <w:t xml:space="preserve"> triggers </w:t>
      </w:r>
      <w:r w:rsidR="004C648A">
        <w:rPr>
          <w:rFonts w:ascii="Century" w:eastAsia="Century" w:hAnsi="Century" w:cs="Century"/>
          <w:bCs/>
        </w:rPr>
        <w:t>stri</w:t>
      </w:r>
      <w:r w:rsidRPr="00132BDC">
        <w:rPr>
          <w:rFonts w:ascii="Century" w:eastAsia="Century" w:hAnsi="Century" w:cs="Century"/>
          <w:bCs/>
        </w:rPr>
        <w:t>ct scrutiny analysis</w:t>
      </w:r>
      <w:r w:rsidR="00537595">
        <w:rPr>
          <w:rFonts w:ascii="Century" w:eastAsia="Century" w:hAnsi="Century" w:cs="Century"/>
          <w:bCs/>
        </w:rPr>
        <w:t xml:space="preserve">. Moreover, </w:t>
      </w:r>
      <w:r w:rsidRPr="00132BDC">
        <w:rPr>
          <w:rFonts w:ascii="Century" w:eastAsia="Century" w:hAnsi="Century" w:cs="Century"/>
          <w:bCs/>
        </w:rPr>
        <w:t>even a facially race-</w:t>
      </w:r>
      <w:r w:rsidR="003D3E8E">
        <w:rPr>
          <w:rFonts w:ascii="Century" w:eastAsia="Century" w:hAnsi="Century" w:cs="Century"/>
          <w:bCs/>
        </w:rPr>
        <w:t>neutral redistricting plan can</w:t>
      </w:r>
      <w:r w:rsidRPr="00132BDC">
        <w:rPr>
          <w:rFonts w:ascii="Century" w:eastAsia="Century" w:hAnsi="Century" w:cs="Century"/>
          <w:bCs/>
        </w:rPr>
        <w:t xml:space="preserve"> constitute an unconstitutional racial gerrymander </w:t>
      </w:r>
      <w:r w:rsidR="00537595">
        <w:rPr>
          <w:rFonts w:ascii="Century" w:eastAsia="Century" w:hAnsi="Century" w:cs="Century"/>
          <w:bCs/>
        </w:rPr>
        <w:t xml:space="preserve">that fails to survive </w:t>
      </w:r>
      <w:r w:rsidRPr="00132BDC">
        <w:rPr>
          <w:rFonts w:ascii="Century" w:eastAsia="Century" w:hAnsi="Century" w:cs="Century"/>
          <w:bCs/>
        </w:rPr>
        <w:t xml:space="preserve">strict scrutiny. </w:t>
      </w:r>
      <w:r w:rsidRPr="004C648A">
        <w:rPr>
          <w:rFonts w:ascii="Century" w:eastAsia="Century" w:hAnsi="Century" w:cs="Century"/>
          <w:bCs/>
          <w:i/>
        </w:rPr>
        <w:t>Shaw v. Reno</w:t>
      </w:r>
      <w:r w:rsidRPr="00132BDC">
        <w:rPr>
          <w:rFonts w:ascii="Century" w:eastAsia="Century" w:hAnsi="Century" w:cs="Century"/>
          <w:bCs/>
        </w:rPr>
        <w:t xml:space="preserve">, 509 U.S. 630, 646-47, 113 S.Ct. 2816, 125 L.Ed.2d 511 (1993)(Shaw I). </w:t>
      </w:r>
    </w:p>
    <w:p w:rsidR="004C648A" w:rsidRDefault="004C648A" w:rsidP="004C648A">
      <w:pPr>
        <w:rPr>
          <w:rFonts w:ascii="Century" w:eastAsia="Century" w:hAnsi="Century" w:cs="Century"/>
          <w:bCs/>
        </w:rPr>
      </w:pPr>
    </w:p>
    <w:p w:rsidR="0020121F" w:rsidRPr="0020121F" w:rsidRDefault="0020121F" w:rsidP="0020121F">
      <w:pPr>
        <w:jc w:val="center"/>
        <w:rPr>
          <w:rFonts w:ascii="Century" w:eastAsia="Century" w:hAnsi="Century" w:cs="Century"/>
          <w:b/>
          <w:bCs/>
          <w:i/>
        </w:rPr>
      </w:pPr>
      <w:r w:rsidRPr="0020121F">
        <w:rPr>
          <w:rFonts w:ascii="Century" w:eastAsia="Century" w:hAnsi="Century" w:cs="Century"/>
          <w:b/>
          <w:bCs/>
          <w:i/>
        </w:rPr>
        <w:t>Alabama Legislative Black Caucus</w:t>
      </w:r>
    </w:p>
    <w:p w:rsidR="0020121F" w:rsidRDefault="0020121F" w:rsidP="004C648A">
      <w:pPr>
        <w:rPr>
          <w:rFonts w:ascii="Century" w:eastAsia="Century" w:hAnsi="Century" w:cs="Century"/>
          <w:bCs/>
        </w:rPr>
      </w:pPr>
    </w:p>
    <w:p w:rsidR="00132BDC" w:rsidRDefault="00C82090" w:rsidP="00455474">
      <w:pPr>
        <w:ind w:firstLine="720"/>
        <w:rPr>
          <w:rFonts w:ascii="Century" w:eastAsia="Century" w:hAnsi="Century" w:cs="Century"/>
          <w:bCs/>
        </w:rPr>
      </w:pPr>
      <w:r>
        <w:rPr>
          <w:rFonts w:ascii="Century" w:eastAsia="Century" w:hAnsi="Century" w:cs="Century"/>
          <w:bCs/>
        </w:rPr>
        <w:t xml:space="preserve">In 2015, the Supreme Court concluded that the </w:t>
      </w:r>
      <w:r w:rsidRPr="00C82090">
        <w:rPr>
          <w:rFonts w:ascii="Century" w:eastAsia="Century" w:hAnsi="Century" w:cs="Century"/>
          <w:bCs/>
        </w:rPr>
        <w:t>Al</w:t>
      </w:r>
      <w:r>
        <w:rPr>
          <w:rFonts w:ascii="Century" w:eastAsia="Century" w:hAnsi="Century" w:cs="Century"/>
          <w:bCs/>
        </w:rPr>
        <w:t xml:space="preserve">abama legislature had engaged in racial gerrymandering by packing </w:t>
      </w:r>
      <w:r w:rsidRPr="00C82090">
        <w:rPr>
          <w:rFonts w:ascii="Century" w:eastAsia="Century" w:hAnsi="Century" w:cs="Century"/>
          <w:bCs/>
        </w:rPr>
        <w:t>minority voters into safe majority-minority districts</w:t>
      </w:r>
      <w:r w:rsidR="0020121F">
        <w:rPr>
          <w:rFonts w:ascii="Century" w:eastAsia="Century" w:hAnsi="Century" w:cs="Century"/>
          <w:bCs/>
        </w:rPr>
        <w:t>. Minority plaintiffs asserted a</w:t>
      </w:r>
      <w:r w:rsidR="00B66444" w:rsidRPr="00B66444">
        <w:rPr>
          <w:rFonts w:ascii="Century" w:eastAsia="Century" w:hAnsi="Century" w:cs="Century"/>
          <w:bCs/>
        </w:rPr>
        <w:t xml:space="preserve"> justiciable racial gerrymandering claim under the Equal Protection Clause </w:t>
      </w:r>
      <w:r w:rsidR="0020121F">
        <w:rPr>
          <w:rFonts w:ascii="Century" w:eastAsia="Century" w:hAnsi="Century" w:cs="Century"/>
          <w:bCs/>
        </w:rPr>
        <w:t xml:space="preserve">since </w:t>
      </w:r>
      <w:r w:rsidR="00B66444" w:rsidRPr="00B66444">
        <w:rPr>
          <w:rFonts w:ascii="Century" w:eastAsia="Century" w:hAnsi="Century" w:cs="Century"/>
          <w:bCs/>
        </w:rPr>
        <w:t xml:space="preserve">race </w:t>
      </w:r>
      <w:r w:rsidR="0020121F">
        <w:rPr>
          <w:rFonts w:ascii="Century" w:eastAsia="Century" w:hAnsi="Century" w:cs="Century"/>
          <w:bCs/>
        </w:rPr>
        <w:t>wa</w:t>
      </w:r>
      <w:r w:rsidR="00B66444" w:rsidRPr="00B66444">
        <w:rPr>
          <w:rFonts w:ascii="Century" w:eastAsia="Century" w:hAnsi="Century" w:cs="Century"/>
          <w:bCs/>
        </w:rPr>
        <w:t xml:space="preserve">s “the predominant factor motivating the legislature's decision to place a significant number of voters within or without a particular district." </w:t>
      </w:r>
      <w:r w:rsidR="00B66444" w:rsidRPr="00B66444">
        <w:rPr>
          <w:rFonts w:ascii="Century" w:eastAsia="Century" w:hAnsi="Century" w:cs="Century"/>
          <w:bCs/>
          <w:i/>
        </w:rPr>
        <w:t>Ala</w:t>
      </w:r>
      <w:r w:rsidR="00455474">
        <w:rPr>
          <w:rFonts w:ascii="Century" w:eastAsia="Century" w:hAnsi="Century" w:cs="Century"/>
          <w:bCs/>
          <w:i/>
        </w:rPr>
        <w:t>.</w:t>
      </w:r>
      <w:r w:rsidR="00B66444" w:rsidRPr="00B66444">
        <w:rPr>
          <w:rFonts w:ascii="Century" w:eastAsia="Century" w:hAnsi="Century" w:cs="Century"/>
          <w:bCs/>
          <w:i/>
        </w:rPr>
        <w:t xml:space="preserve"> Legislative Black Caucus v. Alabama</w:t>
      </w:r>
      <w:r w:rsidR="00B66444" w:rsidRPr="00B66444">
        <w:rPr>
          <w:rFonts w:ascii="Century" w:eastAsia="Century" w:hAnsi="Century" w:cs="Century"/>
          <w:bCs/>
        </w:rPr>
        <w:t xml:space="preserve">, 135 S. Ct. 1257, 1270 (2015) (quoting </w:t>
      </w:r>
      <w:r w:rsidR="00B66444" w:rsidRPr="00B66444">
        <w:rPr>
          <w:rFonts w:ascii="Century" w:eastAsia="Century" w:hAnsi="Century" w:cs="Century"/>
          <w:bCs/>
          <w:i/>
        </w:rPr>
        <w:t>Miller v. Johnson</w:t>
      </w:r>
      <w:r w:rsidR="00B66444" w:rsidRPr="00B66444">
        <w:rPr>
          <w:rFonts w:ascii="Century" w:eastAsia="Century" w:hAnsi="Century" w:cs="Century"/>
          <w:bCs/>
        </w:rPr>
        <w:t xml:space="preserve">, 515 U.S. 900, 916 (1995)). </w:t>
      </w:r>
      <w:r w:rsidR="00455474">
        <w:rPr>
          <w:rFonts w:ascii="Century" w:eastAsia="Century" w:hAnsi="Century" w:cs="Century"/>
          <w:bCs/>
        </w:rPr>
        <w:t>The Court condemned the “</w:t>
      </w:r>
      <w:r w:rsidR="00455474" w:rsidRPr="00455474">
        <w:rPr>
          <w:rFonts w:ascii="Century" w:eastAsia="Century" w:hAnsi="Century" w:cs="Century"/>
          <w:bCs/>
        </w:rPr>
        <w:t>prioritiz[ation]  [of]  mech</w:t>
      </w:r>
      <w:r w:rsidR="00455474">
        <w:rPr>
          <w:rFonts w:ascii="Century" w:eastAsia="Century" w:hAnsi="Century" w:cs="Century"/>
          <w:bCs/>
        </w:rPr>
        <w:t xml:space="preserve">anical  racial  targets  above </w:t>
      </w:r>
      <w:r w:rsidR="00455474" w:rsidRPr="00455474">
        <w:rPr>
          <w:rFonts w:ascii="Century" w:eastAsia="Century" w:hAnsi="Century" w:cs="Century"/>
          <w:bCs/>
        </w:rPr>
        <w:t>all  other  districting  crit</w:t>
      </w:r>
      <w:r w:rsidR="00455474">
        <w:rPr>
          <w:rFonts w:ascii="Century" w:eastAsia="Century" w:hAnsi="Century" w:cs="Century"/>
          <w:bCs/>
        </w:rPr>
        <w:t xml:space="preserve">eria,”  particularly  where  a </w:t>
      </w:r>
      <w:r w:rsidR="00455474" w:rsidRPr="00455474">
        <w:rPr>
          <w:rFonts w:ascii="Century" w:eastAsia="Century" w:hAnsi="Century" w:cs="Century"/>
          <w:bCs/>
        </w:rPr>
        <w:t>state’s    “mechanical[]    rel[</w:t>
      </w:r>
      <w:r w:rsidR="00455474">
        <w:rPr>
          <w:rFonts w:ascii="Century" w:eastAsia="Century" w:hAnsi="Century" w:cs="Century"/>
          <w:bCs/>
        </w:rPr>
        <w:t xml:space="preserve">iance] </w:t>
      </w:r>
      <w:r w:rsidR="00455474" w:rsidRPr="00455474">
        <w:rPr>
          <w:rFonts w:ascii="Century" w:eastAsia="Century" w:hAnsi="Century" w:cs="Century"/>
          <w:bCs/>
        </w:rPr>
        <w:t>upon    numerical percentages”  is  untethered  to  any  “strong  basis  in</w:t>
      </w:r>
      <w:r w:rsidR="00455474">
        <w:rPr>
          <w:rFonts w:ascii="Century" w:eastAsia="Century" w:hAnsi="Century" w:cs="Century"/>
          <w:bCs/>
        </w:rPr>
        <w:t xml:space="preserve"> </w:t>
      </w:r>
      <w:r w:rsidR="00455474" w:rsidRPr="00455474">
        <w:rPr>
          <w:rFonts w:ascii="Century" w:eastAsia="Century" w:hAnsi="Century" w:cs="Century"/>
          <w:bCs/>
        </w:rPr>
        <w:t xml:space="preserve">evidence”  for  sorting  voters  on  the  basis  of  race.  </w:t>
      </w:r>
      <w:r w:rsidR="00455474">
        <w:rPr>
          <w:rFonts w:ascii="Century" w:eastAsia="Century" w:hAnsi="Century" w:cs="Century"/>
          <w:bCs/>
        </w:rPr>
        <w:t xml:space="preserve">Id.  at </w:t>
      </w:r>
      <w:r w:rsidR="00455474" w:rsidRPr="00455474">
        <w:rPr>
          <w:rFonts w:ascii="Century" w:eastAsia="Century" w:hAnsi="Century" w:cs="Century"/>
          <w:bCs/>
        </w:rPr>
        <w:t>1267, 1273-74</w:t>
      </w:r>
      <w:r w:rsidR="00455474">
        <w:rPr>
          <w:rFonts w:ascii="Century" w:eastAsia="Century" w:hAnsi="Century" w:cs="Century"/>
          <w:bCs/>
        </w:rPr>
        <w:t>.</w:t>
      </w:r>
    </w:p>
    <w:p w:rsidR="00132BDC" w:rsidRDefault="00132BDC" w:rsidP="00132BDC">
      <w:pPr>
        <w:rPr>
          <w:rFonts w:ascii="Century" w:eastAsia="Century" w:hAnsi="Century" w:cs="Century"/>
          <w:bCs/>
        </w:rPr>
      </w:pPr>
    </w:p>
    <w:p w:rsidR="00132BDC" w:rsidRDefault="00B66444" w:rsidP="00132BDC">
      <w:pPr>
        <w:ind w:firstLine="720"/>
        <w:rPr>
          <w:rFonts w:ascii="Century" w:eastAsia="Century" w:hAnsi="Century" w:cs="Century"/>
          <w:bCs/>
          <w:color w:val="000000"/>
          <w:u w:color="000000"/>
        </w:rPr>
      </w:pPr>
      <w:r>
        <w:rPr>
          <w:rFonts w:ascii="Century" w:eastAsia="Century" w:hAnsi="Century" w:cs="Century"/>
          <w:bCs/>
        </w:rPr>
        <w:t>Most recently, racial g</w:t>
      </w:r>
      <w:r w:rsidR="00DB7097">
        <w:rPr>
          <w:rFonts w:ascii="Century" w:eastAsia="Century" w:hAnsi="Century" w:cs="Century"/>
          <w:bCs/>
        </w:rPr>
        <w:t xml:space="preserve">errymandering claims have been </w:t>
      </w:r>
      <w:r>
        <w:rPr>
          <w:rFonts w:ascii="Century" w:eastAsia="Century" w:hAnsi="Century" w:cs="Century"/>
          <w:bCs/>
        </w:rPr>
        <w:t>litigated on behalf of minority plaintiffs challenging congressional and legislative redistricting plans in Virginia and North Carolina as predominately based on race</w:t>
      </w:r>
      <w:r w:rsidR="005305ED">
        <w:rPr>
          <w:rFonts w:ascii="Century" w:eastAsia="Century" w:hAnsi="Century" w:cs="Century"/>
          <w:bCs/>
        </w:rPr>
        <w:t>.</w:t>
      </w:r>
      <w:r w:rsidR="00132BDC">
        <w:rPr>
          <w:rFonts w:ascii="Century" w:eastAsia="Century" w:hAnsi="Century" w:cs="Century"/>
          <w:bCs/>
        </w:rPr>
        <w:t xml:space="preserve"> </w:t>
      </w:r>
      <w:r w:rsidR="00DB7097">
        <w:rPr>
          <w:rFonts w:ascii="Century" w:eastAsia="Century" w:hAnsi="Century" w:cs="Century"/>
          <w:bCs/>
        </w:rPr>
        <w:t xml:space="preserve">Such claims </w:t>
      </w:r>
      <w:r w:rsidR="00132BDC">
        <w:rPr>
          <w:rFonts w:ascii="Century" w:eastAsia="Century" w:hAnsi="Century" w:cs="Century"/>
          <w:bCs/>
        </w:rPr>
        <w:t>were used</w:t>
      </w:r>
      <w:r w:rsidR="00DB7097">
        <w:rPr>
          <w:rFonts w:ascii="Century" w:eastAsia="Century" w:hAnsi="Century" w:cs="Century"/>
          <w:bCs/>
        </w:rPr>
        <w:t xml:space="preserve"> </w:t>
      </w:r>
      <w:r w:rsidR="00132BDC">
        <w:rPr>
          <w:rFonts w:ascii="Century" w:eastAsia="Century" w:hAnsi="Century" w:cs="Century"/>
          <w:bCs/>
        </w:rPr>
        <w:t xml:space="preserve">as </w:t>
      </w:r>
      <w:r w:rsidR="00132BDC" w:rsidRPr="00132BDC">
        <w:rPr>
          <w:rFonts w:ascii="Century" w:eastAsia="Century" w:hAnsi="Century" w:cs="Century"/>
          <w:bCs/>
          <w:color w:val="000000"/>
          <w:u w:color="000000"/>
        </w:rPr>
        <w:t xml:space="preserve">a sword by minority plaintiffs to challenge legislatively created redistricting plans as racial gerrymanders, in contrast to litigation two decades </w:t>
      </w:r>
      <w:r w:rsidR="00DB7097">
        <w:rPr>
          <w:rFonts w:ascii="Century" w:eastAsia="Century" w:hAnsi="Century" w:cs="Century"/>
          <w:bCs/>
          <w:color w:val="000000"/>
          <w:u w:color="000000"/>
        </w:rPr>
        <w:t xml:space="preserve">before </w:t>
      </w:r>
      <w:r w:rsidR="00132BDC" w:rsidRPr="00132BDC">
        <w:rPr>
          <w:rFonts w:ascii="Century" w:eastAsia="Century" w:hAnsi="Century" w:cs="Century"/>
          <w:bCs/>
          <w:color w:val="000000"/>
          <w:u w:color="000000"/>
        </w:rPr>
        <w:t xml:space="preserve">in which similarly situated parties were charged with excessive reliance on race in drawing district boundaries that disregarded traditional districting principles.  </w:t>
      </w:r>
    </w:p>
    <w:p w:rsidR="00346219" w:rsidRDefault="00346219" w:rsidP="00132BDC">
      <w:pPr>
        <w:ind w:firstLine="720"/>
        <w:rPr>
          <w:rFonts w:ascii="Century" w:eastAsia="Century" w:hAnsi="Century" w:cs="Century"/>
          <w:bCs/>
          <w:color w:val="000000"/>
          <w:u w:color="000000"/>
        </w:rPr>
      </w:pPr>
    </w:p>
    <w:p w:rsidR="00346219" w:rsidRDefault="00346219" w:rsidP="00132BDC">
      <w:pPr>
        <w:ind w:firstLine="720"/>
        <w:rPr>
          <w:rFonts w:ascii="Century" w:eastAsia="Century" w:hAnsi="Century" w:cs="Century"/>
          <w:bCs/>
          <w:color w:val="000000"/>
          <w:u w:color="000000"/>
        </w:rPr>
      </w:pPr>
    </w:p>
    <w:p w:rsidR="00346219" w:rsidRDefault="00346219" w:rsidP="00132BDC">
      <w:pPr>
        <w:ind w:firstLine="720"/>
        <w:rPr>
          <w:rFonts w:ascii="Century" w:eastAsia="Century" w:hAnsi="Century" w:cs="Century"/>
          <w:bCs/>
          <w:color w:val="000000"/>
          <w:u w:color="000000"/>
        </w:rPr>
      </w:pPr>
    </w:p>
    <w:p w:rsidR="00346219" w:rsidRPr="00132BDC" w:rsidRDefault="00346219" w:rsidP="00132BDC">
      <w:pPr>
        <w:ind w:firstLine="720"/>
        <w:rPr>
          <w:rFonts w:ascii="Century" w:eastAsia="Century" w:hAnsi="Century" w:cs="Century"/>
          <w:bCs/>
          <w:color w:val="000000"/>
          <w:u w:color="000000"/>
        </w:rPr>
      </w:pPr>
    </w:p>
    <w:p w:rsidR="00132BDC" w:rsidRDefault="00132BDC" w:rsidP="00132BDC">
      <w:pPr>
        <w:pStyle w:val="BodyA"/>
        <w:ind w:firstLine="720"/>
        <w:rPr>
          <w:rFonts w:ascii="Century" w:eastAsia="Century" w:hAnsi="Century" w:cs="Century"/>
          <w:sz w:val="24"/>
          <w:szCs w:val="24"/>
        </w:rPr>
      </w:pPr>
    </w:p>
    <w:p w:rsidR="00797E65" w:rsidRPr="000748B5" w:rsidRDefault="00797E65" w:rsidP="00537595">
      <w:pPr>
        <w:pStyle w:val="BodyA"/>
        <w:ind w:firstLine="720"/>
        <w:jc w:val="center"/>
        <w:rPr>
          <w:rFonts w:ascii="Century" w:hAnsi="Century"/>
          <w:b/>
          <w:sz w:val="24"/>
          <w:szCs w:val="24"/>
        </w:rPr>
      </w:pPr>
      <w:r w:rsidRPr="000748B5">
        <w:rPr>
          <w:rFonts w:ascii="Century" w:hAnsi="Century"/>
          <w:b/>
          <w:sz w:val="24"/>
          <w:szCs w:val="24"/>
        </w:rPr>
        <w:t xml:space="preserve">The Virginia Litigation: </w:t>
      </w:r>
      <w:r w:rsidR="0055164B" w:rsidRPr="000748B5">
        <w:rPr>
          <w:rFonts w:ascii="Century" w:hAnsi="Century"/>
          <w:b/>
          <w:i/>
          <w:sz w:val="24"/>
          <w:szCs w:val="24"/>
        </w:rPr>
        <w:t>Page</w:t>
      </w:r>
      <w:r w:rsidR="0014387A" w:rsidRPr="000748B5">
        <w:rPr>
          <w:rFonts w:ascii="Century" w:hAnsi="Century"/>
          <w:b/>
          <w:i/>
          <w:sz w:val="24"/>
          <w:szCs w:val="24"/>
        </w:rPr>
        <w:t xml:space="preserve"> </w:t>
      </w:r>
      <w:r w:rsidR="0014387A" w:rsidRPr="000748B5">
        <w:rPr>
          <w:rFonts w:ascii="Century" w:hAnsi="Century"/>
          <w:b/>
          <w:sz w:val="24"/>
          <w:szCs w:val="24"/>
        </w:rPr>
        <w:t>and</w:t>
      </w:r>
      <w:r w:rsidR="00455474" w:rsidRPr="000748B5">
        <w:rPr>
          <w:rFonts w:ascii="Century" w:hAnsi="Century"/>
          <w:b/>
          <w:i/>
          <w:sz w:val="24"/>
          <w:szCs w:val="24"/>
        </w:rPr>
        <w:t xml:space="preserve"> Bethune-Hill</w:t>
      </w:r>
    </w:p>
    <w:p w:rsidR="00BC54FA" w:rsidRDefault="00BC54FA">
      <w:pPr>
        <w:pStyle w:val="BodyA"/>
        <w:rPr>
          <w:rFonts w:ascii="Century" w:hAnsi="Century"/>
          <w:sz w:val="24"/>
          <w:szCs w:val="24"/>
        </w:rPr>
      </w:pPr>
    </w:p>
    <w:p w:rsidR="0060319C" w:rsidRDefault="00DB7328" w:rsidP="008F1969">
      <w:pPr>
        <w:pStyle w:val="BodyA"/>
        <w:ind w:firstLine="720"/>
        <w:rPr>
          <w:rFonts w:ascii="Century" w:hAnsi="Century"/>
          <w:sz w:val="24"/>
          <w:szCs w:val="24"/>
        </w:rPr>
      </w:pPr>
      <w:r>
        <w:rPr>
          <w:rFonts w:ascii="Century" w:hAnsi="Century"/>
          <w:sz w:val="24"/>
          <w:szCs w:val="24"/>
        </w:rPr>
        <w:t xml:space="preserve">After </w:t>
      </w:r>
      <w:r w:rsidRPr="00DB7328">
        <w:rPr>
          <w:rFonts w:ascii="Century" w:hAnsi="Century"/>
          <w:i/>
          <w:sz w:val="24"/>
          <w:szCs w:val="24"/>
        </w:rPr>
        <w:t>Alabama Legislative Black Caucus</w:t>
      </w:r>
      <w:r>
        <w:rPr>
          <w:rFonts w:ascii="Century" w:hAnsi="Century"/>
          <w:sz w:val="24"/>
          <w:szCs w:val="24"/>
        </w:rPr>
        <w:t xml:space="preserve">, </w:t>
      </w:r>
      <w:r w:rsidR="007167D4">
        <w:rPr>
          <w:rFonts w:ascii="Century" w:hAnsi="Century"/>
          <w:sz w:val="24"/>
          <w:szCs w:val="24"/>
        </w:rPr>
        <w:t xml:space="preserve">the Commonwealth of </w:t>
      </w:r>
      <w:r w:rsidR="00C63F91">
        <w:rPr>
          <w:rFonts w:ascii="Century" w:hAnsi="Century"/>
          <w:sz w:val="24"/>
          <w:szCs w:val="24"/>
        </w:rPr>
        <w:t>Virginia’s Congressional District 3</w:t>
      </w:r>
      <w:r w:rsidR="00132BDC">
        <w:rPr>
          <w:rFonts w:ascii="Century" w:hAnsi="Century"/>
          <w:sz w:val="24"/>
          <w:szCs w:val="24"/>
        </w:rPr>
        <w:t xml:space="preserve"> was successfully challenged at impermissibly race-based, even though the </w:t>
      </w:r>
      <w:r w:rsidR="00F729F7">
        <w:rPr>
          <w:rFonts w:ascii="Century" w:hAnsi="Century"/>
          <w:sz w:val="24"/>
          <w:szCs w:val="24"/>
        </w:rPr>
        <w:t xml:space="preserve">district had </w:t>
      </w:r>
      <w:r w:rsidR="00132BDC">
        <w:rPr>
          <w:rFonts w:ascii="Century" w:hAnsi="Century"/>
          <w:sz w:val="24"/>
          <w:szCs w:val="24"/>
        </w:rPr>
        <w:t>its origin a</w:t>
      </w:r>
      <w:r w:rsidR="00BC54FA">
        <w:rPr>
          <w:rFonts w:ascii="Century" w:hAnsi="Century"/>
          <w:sz w:val="24"/>
          <w:szCs w:val="24"/>
        </w:rPr>
        <w:t xml:space="preserve">s a </w:t>
      </w:r>
      <w:r w:rsidR="00BC54FA" w:rsidRPr="00BC54FA">
        <w:rPr>
          <w:rFonts w:ascii="Century" w:hAnsi="Century"/>
          <w:i/>
          <w:sz w:val="24"/>
          <w:szCs w:val="24"/>
        </w:rPr>
        <w:t>Shaw v. Reno</w:t>
      </w:r>
      <w:r w:rsidR="00BC54FA">
        <w:rPr>
          <w:rFonts w:ascii="Century" w:hAnsi="Century"/>
          <w:sz w:val="24"/>
          <w:szCs w:val="24"/>
        </w:rPr>
        <w:t xml:space="preserve"> remedy</w:t>
      </w:r>
      <w:r w:rsidR="00F729F7">
        <w:rPr>
          <w:rFonts w:ascii="Century" w:hAnsi="Century"/>
          <w:sz w:val="24"/>
          <w:szCs w:val="24"/>
        </w:rPr>
        <w:t>.</w:t>
      </w:r>
      <w:r w:rsidR="00BC54FA">
        <w:rPr>
          <w:rFonts w:ascii="Century" w:hAnsi="Century"/>
          <w:sz w:val="24"/>
          <w:szCs w:val="24"/>
        </w:rPr>
        <w:t xml:space="preserve"> </w:t>
      </w:r>
    </w:p>
    <w:p w:rsidR="007167D4" w:rsidRDefault="007167D4" w:rsidP="008F1969">
      <w:pPr>
        <w:pStyle w:val="BodyA"/>
        <w:ind w:firstLine="720"/>
        <w:rPr>
          <w:rFonts w:ascii="Century" w:hAnsi="Century"/>
          <w:sz w:val="24"/>
          <w:szCs w:val="24"/>
        </w:rPr>
      </w:pPr>
    </w:p>
    <w:p w:rsidR="00C82090" w:rsidRDefault="007167D4" w:rsidP="00C82090">
      <w:pPr>
        <w:pStyle w:val="BodyA"/>
        <w:ind w:firstLine="720"/>
        <w:rPr>
          <w:rFonts w:ascii="Century" w:eastAsia="Century" w:hAnsi="Century" w:cs="Century"/>
          <w:sz w:val="24"/>
          <w:szCs w:val="24"/>
        </w:rPr>
      </w:pPr>
      <w:r w:rsidRPr="00BE0265">
        <w:rPr>
          <w:rFonts w:ascii="Century" w:hAnsi="Century"/>
          <w:sz w:val="24"/>
          <w:szCs w:val="24"/>
        </w:rPr>
        <w:t xml:space="preserve">The </w:t>
      </w:r>
      <w:r w:rsidRPr="005E4706">
        <w:rPr>
          <w:rFonts w:ascii="Century" w:hAnsi="Century"/>
          <w:i/>
          <w:sz w:val="24"/>
          <w:szCs w:val="24"/>
        </w:rPr>
        <w:t>Page</w:t>
      </w:r>
      <w:r w:rsidRPr="00BE0265">
        <w:rPr>
          <w:rFonts w:ascii="Century" w:hAnsi="Century"/>
          <w:sz w:val="24"/>
          <w:szCs w:val="24"/>
        </w:rPr>
        <w:t xml:space="preserve"> court concluded that race was a predominant consideration in the redistricting of Virginia's Third Congressional District, </w:t>
      </w:r>
      <w:r w:rsidR="0014387A">
        <w:rPr>
          <w:rFonts w:ascii="Century" w:hAnsi="Century"/>
          <w:sz w:val="24"/>
          <w:szCs w:val="24"/>
        </w:rPr>
        <w:t>and</w:t>
      </w:r>
      <w:r w:rsidR="00C82090">
        <w:rPr>
          <w:rFonts w:ascii="Century" w:hAnsi="Century"/>
          <w:sz w:val="24"/>
          <w:szCs w:val="24"/>
        </w:rPr>
        <w:t xml:space="preserve"> </w:t>
      </w:r>
      <w:r w:rsidR="000748B5">
        <w:rPr>
          <w:rFonts w:ascii="Century" w:hAnsi="Century"/>
          <w:sz w:val="24"/>
          <w:szCs w:val="24"/>
        </w:rPr>
        <w:t xml:space="preserve">invoked </w:t>
      </w:r>
      <w:r w:rsidR="000748B5" w:rsidRPr="000748B5">
        <w:rPr>
          <w:rFonts w:ascii="Century" w:hAnsi="Century"/>
          <w:i/>
          <w:sz w:val="24"/>
          <w:szCs w:val="24"/>
        </w:rPr>
        <w:t>Shaw</w:t>
      </w:r>
      <w:r w:rsidR="000748B5">
        <w:rPr>
          <w:rFonts w:ascii="Century" w:hAnsi="Century"/>
          <w:sz w:val="24"/>
          <w:szCs w:val="24"/>
        </w:rPr>
        <w:t>’s admonition that</w:t>
      </w:r>
      <w:r w:rsidR="00C82090">
        <w:rPr>
          <w:rFonts w:ascii="Century" w:hAnsi="Century"/>
          <w:sz w:val="24"/>
          <w:szCs w:val="24"/>
        </w:rPr>
        <w:t xml:space="preserve"> “[r]</w:t>
      </w:r>
      <w:r w:rsidRPr="00BE0265">
        <w:rPr>
          <w:rFonts w:ascii="Century" w:eastAsia="Century" w:hAnsi="Century" w:cs="Century"/>
          <w:sz w:val="24"/>
          <w:szCs w:val="24"/>
        </w:rPr>
        <w:t xml:space="preserve">acial classifications with respect to voting carry particular dangers. Racial gerrymandering, even for remedial purposes, may balkanize us into competing racial factions; it threatens to carry us further from the goal of a political system in which race no longer matters. . . ." </w:t>
      </w:r>
      <w:r w:rsidR="00C82090">
        <w:rPr>
          <w:rFonts w:ascii="Century" w:eastAsia="Century" w:hAnsi="Century" w:cs="Century"/>
          <w:sz w:val="24"/>
          <w:szCs w:val="24"/>
        </w:rPr>
        <w:t xml:space="preserve">citing </w:t>
      </w:r>
      <w:r w:rsidRPr="0076385B">
        <w:rPr>
          <w:rFonts w:ascii="Century" w:eastAsia="Century" w:hAnsi="Century" w:cs="Century"/>
          <w:i/>
          <w:sz w:val="24"/>
          <w:szCs w:val="24"/>
        </w:rPr>
        <w:t>Shaw v. Reno</w:t>
      </w:r>
      <w:r w:rsidRPr="00BE0265">
        <w:rPr>
          <w:rFonts w:ascii="Century" w:eastAsia="Century" w:hAnsi="Century" w:cs="Century"/>
          <w:sz w:val="24"/>
          <w:szCs w:val="24"/>
        </w:rPr>
        <w:t xml:space="preserve"> (</w:t>
      </w:r>
      <w:r w:rsidRPr="0076385B">
        <w:rPr>
          <w:rFonts w:ascii="Century" w:eastAsia="Century" w:hAnsi="Century" w:cs="Century"/>
          <w:i/>
          <w:sz w:val="24"/>
          <w:szCs w:val="24"/>
        </w:rPr>
        <w:t>Shaw I</w:t>
      </w:r>
      <w:r w:rsidRPr="00BE0265">
        <w:rPr>
          <w:rFonts w:ascii="Century" w:eastAsia="Century" w:hAnsi="Century" w:cs="Century"/>
          <w:sz w:val="24"/>
          <w:szCs w:val="24"/>
        </w:rPr>
        <w:t xml:space="preserve">), 509 U.S. 630, 657 (1993). </w:t>
      </w:r>
      <w:r w:rsidR="00DB7097" w:rsidRPr="00DB7097">
        <w:rPr>
          <w:rFonts w:ascii="Century" w:eastAsia="Century" w:hAnsi="Century" w:cs="Century"/>
          <w:sz w:val="24"/>
          <w:szCs w:val="24"/>
        </w:rPr>
        <w:t xml:space="preserve">See </w:t>
      </w:r>
      <w:r w:rsidR="00DB7097" w:rsidRPr="00DB7097">
        <w:rPr>
          <w:rFonts w:ascii="Century" w:eastAsia="Century" w:hAnsi="Century" w:cs="Century"/>
          <w:i/>
          <w:sz w:val="24"/>
          <w:szCs w:val="24"/>
        </w:rPr>
        <w:t>Page v. Va. State Bd. of Elections (Page II)</w:t>
      </w:r>
      <w:r w:rsidR="00DB7097" w:rsidRPr="00DB7097">
        <w:rPr>
          <w:rFonts w:ascii="Century" w:eastAsia="Century" w:hAnsi="Century" w:cs="Century"/>
          <w:sz w:val="24"/>
          <w:szCs w:val="24"/>
        </w:rPr>
        <w:t xml:space="preserve">, 2015 WL 3604029 (E.D. Va. June 5, 2015); </w:t>
      </w:r>
      <w:r w:rsidR="00DB7097" w:rsidRPr="00DB7097">
        <w:rPr>
          <w:rFonts w:ascii="Century" w:eastAsia="Century" w:hAnsi="Century" w:cs="Century"/>
          <w:i/>
          <w:sz w:val="24"/>
          <w:szCs w:val="24"/>
        </w:rPr>
        <w:t>Page v. Va. State Bd. of Elections (Page I)</w:t>
      </w:r>
      <w:r w:rsidR="00DB7097" w:rsidRPr="00DB7097">
        <w:rPr>
          <w:rFonts w:ascii="Century" w:eastAsia="Century" w:hAnsi="Century" w:cs="Century"/>
          <w:sz w:val="24"/>
          <w:szCs w:val="24"/>
        </w:rPr>
        <w:t xml:space="preserve">, 58 F. Supp. 3d 533 (E.D. Va. 2014), </w:t>
      </w:r>
      <w:r w:rsidR="00DB7097" w:rsidRPr="00DB7097">
        <w:rPr>
          <w:rFonts w:ascii="Century" w:eastAsia="Century" w:hAnsi="Century" w:cs="Century"/>
          <w:i/>
          <w:sz w:val="24"/>
          <w:szCs w:val="24"/>
        </w:rPr>
        <w:t>vacated sub nom</w:t>
      </w:r>
      <w:r w:rsidR="00DB7097" w:rsidRPr="00DB7097">
        <w:rPr>
          <w:rFonts w:ascii="Century" w:eastAsia="Century" w:hAnsi="Century" w:cs="Century"/>
          <w:sz w:val="24"/>
          <w:szCs w:val="24"/>
        </w:rPr>
        <w:t xml:space="preserve">. </w:t>
      </w:r>
      <w:r w:rsidR="00DB7097" w:rsidRPr="00DB7097">
        <w:rPr>
          <w:rFonts w:ascii="Century" w:eastAsia="Century" w:hAnsi="Century" w:cs="Century"/>
          <w:i/>
          <w:sz w:val="24"/>
          <w:szCs w:val="24"/>
        </w:rPr>
        <w:t>Cantor v. Personhuballah</w:t>
      </w:r>
      <w:r w:rsidR="00DB7097" w:rsidRPr="00DB7097">
        <w:rPr>
          <w:rFonts w:ascii="Century" w:eastAsia="Century" w:hAnsi="Century" w:cs="Century"/>
          <w:sz w:val="24"/>
          <w:szCs w:val="24"/>
        </w:rPr>
        <w:t>, 135 s. Ct. 1699 (2015).</w:t>
      </w:r>
    </w:p>
    <w:p w:rsidR="00C82090" w:rsidRPr="00BE0265" w:rsidRDefault="00C82090" w:rsidP="00C82090">
      <w:pPr>
        <w:pStyle w:val="BodyA"/>
        <w:ind w:firstLine="720"/>
        <w:rPr>
          <w:rFonts w:ascii="Century" w:eastAsia="Century" w:hAnsi="Century" w:cs="Century"/>
          <w:sz w:val="24"/>
          <w:szCs w:val="24"/>
        </w:rPr>
      </w:pPr>
    </w:p>
    <w:p w:rsidR="007167D4" w:rsidRPr="00BE0265" w:rsidRDefault="007167D4" w:rsidP="006E6201">
      <w:pPr>
        <w:pStyle w:val="BodyA"/>
        <w:ind w:firstLine="720"/>
        <w:rPr>
          <w:rFonts w:ascii="Century" w:eastAsia="Century" w:hAnsi="Century" w:cs="Century"/>
          <w:sz w:val="24"/>
          <w:szCs w:val="24"/>
        </w:rPr>
      </w:pPr>
      <w:r w:rsidRPr="00BE0265">
        <w:rPr>
          <w:rFonts w:ascii="Century" w:eastAsia="Century" w:hAnsi="Century" w:cs="Century"/>
          <w:sz w:val="24"/>
          <w:szCs w:val="24"/>
        </w:rPr>
        <w:t>Similar to</w:t>
      </w:r>
      <w:r w:rsidR="006E6201">
        <w:rPr>
          <w:rFonts w:ascii="Century" w:eastAsia="Century" w:hAnsi="Century" w:cs="Century"/>
          <w:sz w:val="24"/>
          <w:szCs w:val="24"/>
        </w:rPr>
        <w:t xml:space="preserve"> how </w:t>
      </w:r>
      <w:r w:rsidRPr="00BE0265">
        <w:rPr>
          <w:rFonts w:ascii="Century" w:eastAsia="Century" w:hAnsi="Century" w:cs="Century"/>
          <w:sz w:val="24"/>
          <w:szCs w:val="24"/>
        </w:rPr>
        <w:t xml:space="preserve">the Alabama legislature had allegedly packed minority voters into safe majority-minority districts, the </w:t>
      </w:r>
      <w:r w:rsidRPr="005E4706">
        <w:rPr>
          <w:rFonts w:ascii="Century" w:eastAsia="Century" w:hAnsi="Century" w:cs="Century"/>
          <w:i/>
          <w:sz w:val="24"/>
          <w:szCs w:val="24"/>
        </w:rPr>
        <w:t>Page</w:t>
      </w:r>
      <w:r w:rsidRPr="00BE0265">
        <w:rPr>
          <w:rFonts w:ascii="Century" w:eastAsia="Century" w:hAnsi="Century" w:cs="Century"/>
          <w:sz w:val="24"/>
          <w:szCs w:val="24"/>
        </w:rPr>
        <w:t xml:space="preserve"> court found that the 2012 plan had increased the total number of black voting age residents in the Third Congressional District from a BVAP of 53.1% to a BVAP of 56.3%, even though this district had been a safe majority-</w:t>
      </w:r>
      <w:r w:rsidR="00455474">
        <w:rPr>
          <w:rFonts w:ascii="Century" w:eastAsia="Century" w:hAnsi="Century" w:cs="Century"/>
          <w:sz w:val="24"/>
          <w:szCs w:val="24"/>
        </w:rPr>
        <w:t>minority district for 20 years.</w:t>
      </w:r>
    </w:p>
    <w:p w:rsidR="007167D4" w:rsidRPr="000748B5" w:rsidRDefault="007167D4" w:rsidP="007167D4">
      <w:pPr>
        <w:pStyle w:val="BodyA"/>
        <w:rPr>
          <w:rFonts w:ascii="Century" w:eastAsia="Century" w:hAnsi="Century" w:cs="Century"/>
          <w:b/>
          <w:sz w:val="24"/>
          <w:szCs w:val="24"/>
        </w:rPr>
      </w:pPr>
      <w:r w:rsidRPr="00BE0265">
        <w:rPr>
          <w:rFonts w:ascii="Century" w:eastAsia="Century" w:hAnsi="Century" w:cs="Century"/>
          <w:sz w:val="24"/>
          <w:szCs w:val="24"/>
        </w:rPr>
        <w:t xml:space="preserve"> </w:t>
      </w:r>
    </w:p>
    <w:p w:rsidR="0060319C" w:rsidRPr="000748B5" w:rsidRDefault="00C859E7" w:rsidP="00537595">
      <w:pPr>
        <w:pStyle w:val="BodyA"/>
        <w:jc w:val="center"/>
        <w:rPr>
          <w:rFonts w:ascii="Century" w:eastAsia="Century" w:hAnsi="Century" w:cs="Century"/>
          <w:b/>
          <w:sz w:val="24"/>
          <w:szCs w:val="24"/>
        </w:rPr>
      </w:pPr>
      <w:r w:rsidRPr="000748B5">
        <w:rPr>
          <w:rFonts w:ascii="Century" w:eastAsia="Century" w:hAnsi="Century" w:cs="Century"/>
          <w:b/>
          <w:sz w:val="24"/>
          <w:szCs w:val="24"/>
        </w:rPr>
        <w:t xml:space="preserve">Confusion over </w:t>
      </w:r>
      <w:r w:rsidRPr="000748B5">
        <w:rPr>
          <w:rFonts w:ascii="Century" w:eastAsia="Century" w:hAnsi="Century" w:cs="Century"/>
          <w:b/>
          <w:i/>
          <w:sz w:val="24"/>
          <w:szCs w:val="24"/>
        </w:rPr>
        <w:t>Alabama</w:t>
      </w:r>
      <w:r w:rsidR="000748B5" w:rsidRPr="000748B5">
        <w:rPr>
          <w:rFonts w:ascii="Century" w:eastAsia="Century" w:hAnsi="Century" w:cs="Century"/>
          <w:b/>
          <w:i/>
          <w:sz w:val="24"/>
          <w:szCs w:val="24"/>
        </w:rPr>
        <w:t xml:space="preserve"> Legislative Black Caucus</w:t>
      </w:r>
    </w:p>
    <w:p w:rsidR="0060319C" w:rsidRPr="00BE0265" w:rsidRDefault="0060319C">
      <w:pPr>
        <w:pStyle w:val="BodyA"/>
        <w:rPr>
          <w:rFonts w:ascii="Century" w:eastAsia="Century" w:hAnsi="Century" w:cs="Century"/>
          <w:sz w:val="24"/>
          <w:szCs w:val="24"/>
        </w:rPr>
      </w:pPr>
    </w:p>
    <w:p w:rsidR="0060319C" w:rsidRDefault="006A72C7">
      <w:pPr>
        <w:pStyle w:val="BodyA"/>
        <w:rPr>
          <w:rFonts w:ascii="Century" w:eastAsia="Century" w:hAnsi="Century" w:cs="Century"/>
          <w:sz w:val="24"/>
          <w:szCs w:val="24"/>
        </w:rPr>
      </w:pPr>
      <w:r>
        <w:rPr>
          <w:rFonts w:ascii="Century" w:eastAsia="Century" w:hAnsi="Century" w:cs="Century"/>
          <w:sz w:val="24"/>
          <w:szCs w:val="24"/>
        </w:rPr>
        <w:tab/>
      </w:r>
      <w:r w:rsidR="00C859E7" w:rsidRPr="00BE0265">
        <w:rPr>
          <w:rFonts w:ascii="Century" w:eastAsia="Century" w:hAnsi="Century" w:cs="Century"/>
          <w:sz w:val="24"/>
          <w:szCs w:val="24"/>
        </w:rPr>
        <w:t xml:space="preserve">Following the June 2015 decision in </w:t>
      </w:r>
      <w:r w:rsidR="00C859E7" w:rsidRPr="00FC3C1C">
        <w:rPr>
          <w:rFonts w:ascii="Century" w:eastAsia="Century" w:hAnsi="Century" w:cs="Century"/>
          <w:i/>
          <w:sz w:val="24"/>
          <w:szCs w:val="24"/>
        </w:rPr>
        <w:t xml:space="preserve">Page </w:t>
      </w:r>
      <w:r w:rsidR="00C859E7" w:rsidRPr="00BE0265">
        <w:rPr>
          <w:rFonts w:ascii="Century" w:eastAsia="Century" w:hAnsi="Century" w:cs="Century"/>
          <w:sz w:val="24"/>
          <w:szCs w:val="24"/>
        </w:rPr>
        <w:t xml:space="preserve">invalidating Virginia's Third Congressional District on grounds of a </w:t>
      </w:r>
      <w:r w:rsidR="00C859E7" w:rsidRPr="00FC3C1C">
        <w:rPr>
          <w:rFonts w:ascii="Century" w:eastAsia="Century" w:hAnsi="Century" w:cs="Century"/>
          <w:i/>
          <w:sz w:val="24"/>
          <w:szCs w:val="24"/>
        </w:rPr>
        <w:t>Shaw</w:t>
      </w:r>
      <w:r w:rsidR="00C859E7" w:rsidRPr="00BE0265">
        <w:rPr>
          <w:rFonts w:ascii="Century" w:eastAsia="Century" w:hAnsi="Century" w:cs="Century"/>
          <w:sz w:val="24"/>
          <w:szCs w:val="24"/>
        </w:rPr>
        <w:t xml:space="preserve"> violation, a differently constituted three-judge court in Virginia issued another decision in </w:t>
      </w:r>
      <w:r w:rsidR="00C859E7" w:rsidRPr="00FC3C1C">
        <w:rPr>
          <w:rFonts w:ascii="Century" w:eastAsia="Century" w:hAnsi="Century" w:cs="Century"/>
          <w:i/>
          <w:sz w:val="24"/>
          <w:szCs w:val="24"/>
        </w:rPr>
        <w:t>Bethune-Hill v. Virginia State Board of Elections</w:t>
      </w:r>
      <w:r w:rsidR="00C859E7" w:rsidRPr="00BE0265">
        <w:rPr>
          <w:rFonts w:ascii="Century" w:eastAsia="Century" w:hAnsi="Century" w:cs="Century"/>
          <w:sz w:val="24"/>
          <w:szCs w:val="24"/>
        </w:rPr>
        <w:t>, 2015 WL 6440332 (E.D. Va. 2015)</w:t>
      </w:r>
      <w:r w:rsidR="00715D64">
        <w:rPr>
          <w:rFonts w:ascii="Century" w:eastAsia="Century" w:hAnsi="Century" w:cs="Century"/>
          <w:sz w:val="24"/>
          <w:szCs w:val="24"/>
        </w:rPr>
        <w:t>.</w:t>
      </w:r>
      <w:r w:rsidR="00C859E7" w:rsidRPr="00BE0265">
        <w:rPr>
          <w:rFonts w:ascii="Century" w:eastAsia="Century" w:hAnsi="Century" w:cs="Century"/>
          <w:sz w:val="24"/>
          <w:szCs w:val="24"/>
        </w:rPr>
        <w:t>Th</w:t>
      </w:r>
      <w:r w:rsidR="0020121F">
        <w:rPr>
          <w:rFonts w:ascii="Century" w:eastAsia="Century" w:hAnsi="Century" w:cs="Century"/>
          <w:sz w:val="24"/>
          <w:szCs w:val="24"/>
        </w:rPr>
        <w:t xml:space="preserve">e court in </w:t>
      </w:r>
      <w:r w:rsidR="0020121F" w:rsidRPr="0020121F">
        <w:rPr>
          <w:rFonts w:ascii="Century" w:eastAsia="Century" w:hAnsi="Century" w:cs="Century"/>
          <w:i/>
          <w:sz w:val="24"/>
          <w:szCs w:val="24"/>
        </w:rPr>
        <w:t>Bethune-Hill</w:t>
      </w:r>
      <w:r w:rsidR="0020121F">
        <w:rPr>
          <w:rFonts w:ascii="Century" w:eastAsia="Century" w:hAnsi="Century" w:cs="Century"/>
          <w:sz w:val="24"/>
          <w:szCs w:val="24"/>
        </w:rPr>
        <w:t xml:space="preserve"> </w:t>
      </w:r>
      <w:r w:rsidR="0014387A">
        <w:rPr>
          <w:rFonts w:ascii="Century" w:eastAsia="Century" w:hAnsi="Century" w:cs="Century"/>
          <w:sz w:val="24"/>
          <w:szCs w:val="24"/>
        </w:rPr>
        <w:t>rejected a</w:t>
      </w:r>
      <w:r w:rsidR="00C859E7" w:rsidRPr="00BE0265">
        <w:rPr>
          <w:rFonts w:ascii="Century" w:eastAsia="Century" w:hAnsi="Century" w:cs="Century"/>
          <w:sz w:val="24"/>
          <w:szCs w:val="24"/>
        </w:rPr>
        <w:t xml:space="preserve"> </w:t>
      </w:r>
      <w:r w:rsidR="00C859E7" w:rsidRPr="005E4706">
        <w:rPr>
          <w:rFonts w:ascii="Century" w:eastAsia="Century" w:hAnsi="Century" w:cs="Century"/>
          <w:i/>
          <w:sz w:val="24"/>
          <w:szCs w:val="24"/>
        </w:rPr>
        <w:t>Shaw</w:t>
      </w:r>
      <w:r w:rsidR="00C859E7" w:rsidRPr="00BE0265">
        <w:rPr>
          <w:rFonts w:ascii="Century" w:eastAsia="Century" w:hAnsi="Century" w:cs="Century"/>
          <w:sz w:val="24"/>
          <w:szCs w:val="24"/>
        </w:rPr>
        <w:t xml:space="preserve"> racial gerrymandering claim directed against twelve Virginia House Districts</w:t>
      </w:r>
      <w:r w:rsidR="0020121F">
        <w:rPr>
          <w:rFonts w:ascii="Century" w:eastAsia="Century" w:hAnsi="Century" w:cs="Century"/>
          <w:sz w:val="24"/>
          <w:szCs w:val="24"/>
        </w:rPr>
        <w:t>. It found that</w:t>
      </w:r>
      <w:r w:rsidR="0014387A">
        <w:rPr>
          <w:rFonts w:ascii="Century" w:eastAsia="Century" w:hAnsi="Century" w:cs="Century"/>
          <w:sz w:val="24"/>
          <w:szCs w:val="24"/>
        </w:rPr>
        <w:t xml:space="preserve"> while </w:t>
      </w:r>
      <w:r w:rsidR="00C859E7" w:rsidRPr="00BE0265">
        <w:rPr>
          <w:rFonts w:ascii="Century" w:eastAsia="Century" w:hAnsi="Century" w:cs="Century"/>
          <w:sz w:val="24"/>
          <w:szCs w:val="24"/>
        </w:rPr>
        <w:t xml:space="preserve">race was the predominant factor in the creation of </w:t>
      </w:r>
      <w:r w:rsidR="0020121F">
        <w:rPr>
          <w:rFonts w:ascii="Century" w:eastAsia="Century" w:hAnsi="Century" w:cs="Century"/>
          <w:sz w:val="24"/>
          <w:szCs w:val="24"/>
        </w:rPr>
        <w:t>the district under scrutiny, t</w:t>
      </w:r>
      <w:r w:rsidR="00C859E7" w:rsidRPr="00BE0265">
        <w:rPr>
          <w:rFonts w:ascii="Century" w:eastAsia="Century" w:hAnsi="Century" w:cs="Century"/>
          <w:sz w:val="24"/>
          <w:szCs w:val="24"/>
        </w:rPr>
        <w:t>he Virginia General Assembly was pursuing a compelling state interest, actual compliance with federal antidiscrimination law, and used race in a manner narrowly tailored to achieve that interest.</w:t>
      </w:r>
    </w:p>
    <w:p w:rsidR="00047CAD" w:rsidRDefault="00047CAD" w:rsidP="00BB239B">
      <w:pPr>
        <w:pStyle w:val="BodyA"/>
        <w:rPr>
          <w:rFonts w:ascii="Century" w:eastAsia="Century" w:hAnsi="Century" w:cs="Century"/>
          <w:sz w:val="24"/>
          <w:szCs w:val="24"/>
        </w:rPr>
      </w:pPr>
    </w:p>
    <w:p w:rsidR="00F3554B" w:rsidRDefault="00047CAD" w:rsidP="00047CAD">
      <w:pPr>
        <w:pStyle w:val="BodyA"/>
        <w:ind w:firstLine="720"/>
        <w:rPr>
          <w:rFonts w:ascii="Century" w:eastAsia="Century" w:hAnsi="Century" w:cs="Century"/>
          <w:sz w:val="24"/>
          <w:szCs w:val="24"/>
        </w:rPr>
      </w:pPr>
      <w:r>
        <w:rPr>
          <w:rFonts w:ascii="Century" w:eastAsia="Century" w:hAnsi="Century" w:cs="Century"/>
          <w:sz w:val="24"/>
          <w:szCs w:val="24"/>
        </w:rPr>
        <w:t xml:space="preserve">The unsuccessful </w:t>
      </w:r>
      <w:r w:rsidR="00F3554B" w:rsidRPr="00047CAD">
        <w:rPr>
          <w:rFonts w:ascii="Century" w:eastAsia="Century" w:hAnsi="Century" w:cs="Century"/>
          <w:i/>
          <w:sz w:val="24"/>
          <w:szCs w:val="24"/>
        </w:rPr>
        <w:t>Bethune-Hill</w:t>
      </w:r>
      <w:r w:rsidR="00F3554B">
        <w:rPr>
          <w:rFonts w:ascii="Century" w:eastAsia="Century" w:hAnsi="Century" w:cs="Century"/>
          <w:sz w:val="24"/>
          <w:szCs w:val="24"/>
        </w:rPr>
        <w:t xml:space="preserve"> </w:t>
      </w:r>
      <w:r>
        <w:rPr>
          <w:rFonts w:ascii="Century" w:eastAsia="Century" w:hAnsi="Century" w:cs="Century"/>
          <w:sz w:val="24"/>
          <w:szCs w:val="24"/>
        </w:rPr>
        <w:t xml:space="preserve"> plaintiffs, now </w:t>
      </w:r>
      <w:r w:rsidR="00F3554B">
        <w:rPr>
          <w:rFonts w:ascii="Century" w:eastAsia="Century" w:hAnsi="Century" w:cs="Century"/>
          <w:sz w:val="24"/>
          <w:szCs w:val="24"/>
        </w:rPr>
        <w:t>Appellants</w:t>
      </w:r>
      <w:r w:rsidR="0014387A">
        <w:rPr>
          <w:rFonts w:ascii="Century" w:eastAsia="Century" w:hAnsi="Century" w:cs="Century"/>
          <w:sz w:val="24"/>
          <w:szCs w:val="24"/>
        </w:rPr>
        <w:t>, argued</w:t>
      </w:r>
      <w:r>
        <w:rPr>
          <w:rFonts w:ascii="Century" w:eastAsia="Century" w:hAnsi="Century" w:cs="Century"/>
          <w:sz w:val="24"/>
          <w:szCs w:val="24"/>
        </w:rPr>
        <w:t xml:space="preserve"> that </w:t>
      </w:r>
      <w:r w:rsidR="00F3554B">
        <w:rPr>
          <w:rFonts w:ascii="Century" w:eastAsia="Century" w:hAnsi="Century" w:cs="Century"/>
          <w:sz w:val="24"/>
          <w:szCs w:val="24"/>
        </w:rPr>
        <w:t>the challenged districts were the product of race-based gerrymandering, since they were drawn to comply with a strict racial quota of at least 55% BVAP</w:t>
      </w:r>
      <w:r>
        <w:rPr>
          <w:rFonts w:ascii="Century" w:eastAsia="Century" w:hAnsi="Century" w:cs="Century"/>
          <w:sz w:val="24"/>
          <w:szCs w:val="24"/>
        </w:rPr>
        <w:t>. Indeed</w:t>
      </w:r>
      <w:r w:rsidR="00F3554B">
        <w:rPr>
          <w:rFonts w:ascii="Century" w:eastAsia="Century" w:hAnsi="Century" w:cs="Century"/>
          <w:sz w:val="24"/>
          <w:szCs w:val="24"/>
        </w:rPr>
        <w:t>, the state’s lead map</w:t>
      </w:r>
      <w:r w:rsidR="004336EF">
        <w:rPr>
          <w:rFonts w:ascii="Century" w:eastAsia="Century" w:hAnsi="Century" w:cs="Century"/>
          <w:sz w:val="24"/>
          <w:szCs w:val="24"/>
        </w:rPr>
        <w:t xml:space="preserve"> </w:t>
      </w:r>
      <w:r w:rsidR="00F3554B">
        <w:rPr>
          <w:rFonts w:ascii="Century" w:eastAsia="Century" w:hAnsi="Century" w:cs="Century"/>
          <w:sz w:val="24"/>
          <w:szCs w:val="24"/>
        </w:rPr>
        <w:t xml:space="preserve">drawer admitted that he steadfastly adhered to that overtly racial rule, other delegates testified that the 55% quota pervaded the redistricting process, and the state general assembly rejected alternative plans and proposed revisions </w:t>
      </w:r>
      <w:r>
        <w:rPr>
          <w:rFonts w:ascii="Century" w:eastAsia="Century" w:hAnsi="Century" w:cs="Century"/>
          <w:sz w:val="24"/>
          <w:szCs w:val="24"/>
        </w:rPr>
        <w:t xml:space="preserve">that violated the 55% rule. </w:t>
      </w:r>
      <w:r w:rsidR="00F3554B">
        <w:rPr>
          <w:rFonts w:ascii="Century" w:eastAsia="Century" w:hAnsi="Century" w:cs="Century"/>
          <w:sz w:val="24"/>
          <w:szCs w:val="24"/>
        </w:rPr>
        <w:t xml:space="preserve"> </w:t>
      </w:r>
    </w:p>
    <w:p w:rsidR="00893FCA" w:rsidRDefault="00893FCA" w:rsidP="00893FCA">
      <w:pPr>
        <w:pStyle w:val="BodyA"/>
        <w:rPr>
          <w:rFonts w:ascii="Century" w:eastAsia="Century" w:hAnsi="Century" w:cs="Century"/>
          <w:sz w:val="24"/>
          <w:szCs w:val="24"/>
        </w:rPr>
      </w:pPr>
    </w:p>
    <w:p w:rsidR="00455474" w:rsidRPr="00455474" w:rsidRDefault="00BB239B" w:rsidP="00455474">
      <w:pPr>
        <w:pStyle w:val="BodyA"/>
        <w:rPr>
          <w:rStyle w:val="Hyperlink"/>
          <w:rFonts w:ascii="Century" w:eastAsia="Century" w:hAnsi="Century" w:cs="Century"/>
          <w:sz w:val="24"/>
          <w:szCs w:val="24"/>
          <w:u w:val="none"/>
        </w:rPr>
      </w:pPr>
      <w:r>
        <w:rPr>
          <w:rFonts w:ascii="Century" w:eastAsia="Century" w:hAnsi="Century" w:cs="Century"/>
          <w:sz w:val="24"/>
          <w:szCs w:val="24"/>
        </w:rPr>
        <w:t xml:space="preserve">Probable jurisdiction was noted on June 6, 2016. </w:t>
      </w:r>
      <w:hyperlink r:id="rId7" w:history="1">
        <w:r w:rsidRPr="00BD09C1">
          <w:rPr>
            <w:rStyle w:val="Hyperlink"/>
            <w:rFonts w:ascii="Century" w:eastAsia="Century" w:hAnsi="Century" w:cs="Century"/>
            <w:sz w:val="24"/>
            <w:szCs w:val="24"/>
          </w:rPr>
          <w:t>http://www.scotusblog.com/case-files/cases/bethune-hill-v-virginia-state-board-of-elections/?wpmp_switcher=desktop</w:t>
        </w:r>
      </w:hyperlink>
      <w:r w:rsidR="00455474">
        <w:rPr>
          <w:rStyle w:val="Hyperlink"/>
          <w:rFonts w:ascii="Century" w:eastAsia="Century" w:hAnsi="Century" w:cs="Century"/>
          <w:sz w:val="24"/>
          <w:szCs w:val="24"/>
        </w:rPr>
        <w:t xml:space="preserve">, </w:t>
      </w:r>
      <w:r w:rsidR="00455474">
        <w:rPr>
          <w:rStyle w:val="Hyperlink"/>
          <w:rFonts w:ascii="Century" w:eastAsia="Century" w:hAnsi="Century" w:cs="Century"/>
          <w:sz w:val="24"/>
          <w:szCs w:val="24"/>
          <w:u w:val="none"/>
        </w:rPr>
        <w:t xml:space="preserve">and the merits brief of the plaintiffs/Appellants was filed on September 7, 2016, see  </w:t>
      </w:r>
      <w:hyperlink r:id="rId8" w:history="1">
        <w:r w:rsidR="00455474" w:rsidRPr="00C60166">
          <w:rPr>
            <w:rStyle w:val="Hyperlink"/>
            <w:rFonts w:ascii="Century" w:eastAsia="Century" w:hAnsi="Century" w:cs="Century"/>
            <w:sz w:val="24"/>
            <w:szCs w:val="24"/>
          </w:rPr>
          <w:t>http://www.scotusblog.com/wp-content/uploads/2016/09/15-680-merit-brief-appellants.pdf</w:t>
        </w:r>
      </w:hyperlink>
      <w:r w:rsidR="00DB7097">
        <w:rPr>
          <w:rStyle w:val="Hyperlink"/>
          <w:rFonts w:ascii="Century" w:eastAsia="Century" w:hAnsi="Century" w:cs="Century"/>
          <w:sz w:val="24"/>
          <w:szCs w:val="24"/>
          <w:u w:val="none"/>
        </w:rPr>
        <w:t>. Their core</w:t>
      </w:r>
      <w:r w:rsidR="00455474">
        <w:rPr>
          <w:rStyle w:val="Hyperlink"/>
          <w:rFonts w:ascii="Century" w:eastAsia="Century" w:hAnsi="Century" w:cs="Century"/>
          <w:sz w:val="24"/>
          <w:szCs w:val="24"/>
          <w:u w:val="none"/>
        </w:rPr>
        <w:t xml:space="preserve"> argument </w:t>
      </w:r>
      <w:r w:rsidR="00DB7097">
        <w:rPr>
          <w:rStyle w:val="Hyperlink"/>
          <w:rFonts w:ascii="Century" w:eastAsia="Century" w:hAnsi="Century" w:cs="Century"/>
          <w:sz w:val="24"/>
          <w:szCs w:val="24"/>
          <w:u w:val="none"/>
        </w:rPr>
        <w:t>is</w:t>
      </w:r>
      <w:r w:rsidR="00455474">
        <w:rPr>
          <w:rStyle w:val="Hyperlink"/>
          <w:rFonts w:ascii="Century" w:eastAsia="Century" w:hAnsi="Century" w:cs="Century"/>
          <w:sz w:val="24"/>
          <w:szCs w:val="24"/>
          <w:u w:val="none"/>
        </w:rPr>
        <w:t xml:space="preserve"> that r</w:t>
      </w:r>
      <w:r w:rsidR="00455474" w:rsidRPr="00455474">
        <w:rPr>
          <w:rStyle w:val="Hyperlink"/>
          <w:rFonts w:ascii="Century" w:eastAsia="Century" w:hAnsi="Century" w:cs="Century"/>
          <w:sz w:val="24"/>
          <w:szCs w:val="24"/>
          <w:u w:val="none"/>
        </w:rPr>
        <w:t>ace was the predominant</w:t>
      </w:r>
    </w:p>
    <w:p w:rsidR="00893FCA" w:rsidRDefault="00455474" w:rsidP="00455474">
      <w:pPr>
        <w:pStyle w:val="BodyA"/>
        <w:rPr>
          <w:rStyle w:val="Hyperlink"/>
          <w:rFonts w:ascii="Century" w:eastAsia="Century" w:hAnsi="Century" w:cs="Century"/>
          <w:sz w:val="24"/>
          <w:szCs w:val="24"/>
          <w:u w:val="none"/>
        </w:rPr>
      </w:pPr>
      <w:r w:rsidRPr="00455474">
        <w:rPr>
          <w:rStyle w:val="Hyperlink"/>
          <w:rFonts w:ascii="Century" w:eastAsia="Century" w:hAnsi="Century" w:cs="Century"/>
          <w:sz w:val="24"/>
          <w:szCs w:val="24"/>
          <w:u w:val="none"/>
        </w:rPr>
        <w:t xml:space="preserve"> purpose of </w:t>
      </w:r>
      <w:r>
        <w:rPr>
          <w:rStyle w:val="Hyperlink"/>
          <w:rFonts w:ascii="Century" w:eastAsia="Century" w:hAnsi="Century" w:cs="Century"/>
          <w:sz w:val="24"/>
          <w:szCs w:val="24"/>
          <w:u w:val="none"/>
        </w:rPr>
        <w:t xml:space="preserve">the challenged district, and that it was error for the lower court to conclude that such use of </w:t>
      </w:r>
      <w:r w:rsidRPr="00455474">
        <w:rPr>
          <w:rStyle w:val="Hyperlink"/>
          <w:rFonts w:ascii="Century" w:eastAsia="Century" w:hAnsi="Century" w:cs="Century"/>
          <w:sz w:val="24"/>
          <w:szCs w:val="24"/>
          <w:u w:val="none"/>
        </w:rPr>
        <w:t>race  was  narrowly  tailored</w:t>
      </w:r>
      <w:r>
        <w:rPr>
          <w:rStyle w:val="Hyperlink"/>
          <w:rFonts w:ascii="Century" w:eastAsia="Century" w:hAnsi="Century" w:cs="Century"/>
          <w:sz w:val="24"/>
          <w:szCs w:val="24"/>
          <w:u w:val="none"/>
        </w:rPr>
        <w:t xml:space="preserve"> and lawful.</w:t>
      </w:r>
    </w:p>
    <w:p w:rsidR="000748B5" w:rsidRDefault="000748B5" w:rsidP="00893FCA">
      <w:pPr>
        <w:pStyle w:val="BodyA"/>
        <w:rPr>
          <w:rFonts w:ascii="Century" w:eastAsia="Century" w:hAnsi="Century" w:cs="Century"/>
          <w:sz w:val="24"/>
          <w:szCs w:val="24"/>
        </w:rPr>
      </w:pPr>
    </w:p>
    <w:p w:rsidR="00C702CA" w:rsidRDefault="00C702CA" w:rsidP="00893FCA">
      <w:pPr>
        <w:pStyle w:val="BodyA"/>
        <w:ind w:left="720" w:firstLine="720"/>
        <w:rPr>
          <w:rFonts w:ascii="Century" w:eastAsia="Century" w:hAnsi="Century" w:cs="Century"/>
          <w:sz w:val="24"/>
          <w:szCs w:val="24"/>
        </w:rPr>
      </w:pPr>
    </w:p>
    <w:p w:rsidR="0060319C" w:rsidRPr="0020121F" w:rsidRDefault="00C859E7" w:rsidP="0014387A">
      <w:pPr>
        <w:pStyle w:val="BodyA"/>
        <w:ind w:left="1440"/>
        <w:rPr>
          <w:rFonts w:ascii="Century" w:eastAsia="Century" w:hAnsi="Century" w:cs="Century"/>
          <w:b/>
          <w:sz w:val="24"/>
          <w:szCs w:val="24"/>
        </w:rPr>
      </w:pPr>
      <w:r w:rsidRPr="0020121F">
        <w:rPr>
          <w:rFonts w:ascii="Century" w:eastAsia="Century" w:hAnsi="Century" w:cs="Century"/>
          <w:b/>
          <w:i/>
          <w:sz w:val="24"/>
          <w:szCs w:val="24"/>
        </w:rPr>
        <w:t>Dickson v. Rucho</w:t>
      </w:r>
      <w:r w:rsidR="0014387A" w:rsidRPr="0020121F">
        <w:rPr>
          <w:rFonts w:ascii="Century" w:eastAsia="Century" w:hAnsi="Century" w:cs="Century"/>
          <w:b/>
          <w:i/>
          <w:sz w:val="24"/>
          <w:szCs w:val="24"/>
        </w:rPr>
        <w:t xml:space="preserve"> </w:t>
      </w:r>
      <w:r w:rsidR="0014387A" w:rsidRPr="0020121F">
        <w:rPr>
          <w:rFonts w:ascii="Century" w:eastAsia="Century" w:hAnsi="Century" w:cs="Century"/>
          <w:b/>
          <w:sz w:val="24"/>
          <w:szCs w:val="24"/>
        </w:rPr>
        <w:t xml:space="preserve">and </w:t>
      </w:r>
      <w:r w:rsidR="0014387A" w:rsidRPr="0020121F">
        <w:rPr>
          <w:rFonts w:ascii="Century" w:eastAsia="Century" w:hAnsi="Century" w:cs="Century"/>
          <w:b/>
          <w:i/>
          <w:sz w:val="24"/>
          <w:szCs w:val="24"/>
        </w:rPr>
        <w:t>Harris v. McCrory</w:t>
      </w:r>
      <w:r w:rsidR="0014387A" w:rsidRPr="0020121F">
        <w:rPr>
          <w:rFonts w:ascii="Century" w:eastAsia="Century" w:hAnsi="Century" w:cs="Century"/>
          <w:b/>
          <w:sz w:val="24"/>
          <w:szCs w:val="24"/>
        </w:rPr>
        <w:t xml:space="preserve">: </w:t>
      </w:r>
      <w:r w:rsidRPr="0020121F">
        <w:rPr>
          <w:rFonts w:ascii="Century" w:eastAsia="Century" w:hAnsi="Century" w:cs="Century"/>
          <w:b/>
          <w:sz w:val="24"/>
          <w:szCs w:val="24"/>
        </w:rPr>
        <w:t>North Carolina's Experience</w:t>
      </w:r>
    </w:p>
    <w:p w:rsidR="0060319C" w:rsidRPr="005E4706" w:rsidRDefault="0060319C">
      <w:pPr>
        <w:pStyle w:val="BodyA"/>
        <w:rPr>
          <w:rFonts w:ascii="Century" w:eastAsia="Century" w:hAnsi="Century" w:cs="Century"/>
          <w:b/>
          <w:sz w:val="24"/>
          <w:szCs w:val="24"/>
        </w:rPr>
      </w:pPr>
    </w:p>
    <w:p w:rsidR="00A065F0" w:rsidRDefault="001E54F7">
      <w:pPr>
        <w:pStyle w:val="BodyA"/>
        <w:rPr>
          <w:rFonts w:ascii="Century" w:eastAsia="Century" w:hAnsi="Century" w:cs="Century"/>
          <w:sz w:val="24"/>
          <w:szCs w:val="24"/>
        </w:rPr>
      </w:pPr>
      <w:r>
        <w:rPr>
          <w:rFonts w:ascii="Century" w:eastAsia="Century" w:hAnsi="Century" w:cs="Century"/>
          <w:sz w:val="24"/>
          <w:szCs w:val="24"/>
        </w:rPr>
        <w:tab/>
      </w:r>
      <w:r w:rsidR="00C702CA">
        <w:rPr>
          <w:rFonts w:ascii="Century" w:eastAsia="Century" w:hAnsi="Century" w:cs="Century"/>
          <w:sz w:val="24"/>
          <w:szCs w:val="24"/>
        </w:rPr>
        <w:t xml:space="preserve">In neighboring </w:t>
      </w:r>
      <w:r w:rsidR="00C859E7" w:rsidRPr="00BE0265">
        <w:rPr>
          <w:rFonts w:ascii="Century" w:eastAsia="Century" w:hAnsi="Century" w:cs="Century"/>
          <w:sz w:val="24"/>
          <w:szCs w:val="24"/>
        </w:rPr>
        <w:t>North Carolina</w:t>
      </w:r>
      <w:r w:rsidR="00C702CA">
        <w:rPr>
          <w:rFonts w:ascii="Century" w:eastAsia="Century" w:hAnsi="Century" w:cs="Century"/>
          <w:sz w:val="24"/>
          <w:szCs w:val="24"/>
        </w:rPr>
        <w:t>, th</w:t>
      </w:r>
      <w:r w:rsidR="00242C09">
        <w:rPr>
          <w:rFonts w:ascii="Century" w:eastAsia="Century" w:hAnsi="Century" w:cs="Century"/>
          <w:sz w:val="24"/>
          <w:szCs w:val="24"/>
        </w:rPr>
        <w:t>at s</w:t>
      </w:r>
      <w:r w:rsidR="00C702CA">
        <w:rPr>
          <w:rFonts w:ascii="Century" w:eastAsia="Century" w:hAnsi="Century" w:cs="Century"/>
          <w:sz w:val="24"/>
          <w:szCs w:val="24"/>
        </w:rPr>
        <w:t>tate’s General Assembly adopted t</w:t>
      </w:r>
      <w:r w:rsidR="00C859E7" w:rsidRPr="00BE0265">
        <w:rPr>
          <w:rFonts w:ascii="Century" w:eastAsia="Century" w:hAnsi="Century" w:cs="Century"/>
          <w:sz w:val="24"/>
          <w:szCs w:val="24"/>
        </w:rPr>
        <w:t xml:space="preserve">he 2011 Congressional Redistricting Plan, </w:t>
      </w:r>
      <w:r w:rsidR="00C702CA">
        <w:rPr>
          <w:rFonts w:ascii="Century" w:eastAsia="Century" w:hAnsi="Century" w:cs="Century"/>
          <w:sz w:val="24"/>
          <w:szCs w:val="24"/>
        </w:rPr>
        <w:t xml:space="preserve">after which </w:t>
      </w:r>
      <w:r w:rsidR="00C859E7" w:rsidRPr="00BE0265">
        <w:rPr>
          <w:rFonts w:ascii="Century" w:eastAsia="Century" w:hAnsi="Century" w:cs="Century"/>
          <w:sz w:val="24"/>
          <w:szCs w:val="24"/>
        </w:rPr>
        <w:t>two groups of plaintiffs filed suits in state court for unconstitutional racial gerrymandering</w:t>
      </w:r>
      <w:r w:rsidR="00A065F0">
        <w:rPr>
          <w:rFonts w:ascii="Century" w:eastAsia="Century" w:hAnsi="Century" w:cs="Century"/>
          <w:sz w:val="24"/>
          <w:szCs w:val="24"/>
        </w:rPr>
        <w:t>, and another group of plaintiffs filed suit in federal court</w:t>
      </w:r>
      <w:r w:rsidR="00C859E7" w:rsidRPr="00BE0265">
        <w:rPr>
          <w:rFonts w:ascii="Century" w:eastAsia="Century" w:hAnsi="Century" w:cs="Century"/>
          <w:sz w:val="24"/>
          <w:szCs w:val="24"/>
        </w:rPr>
        <w:t xml:space="preserve">. </w:t>
      </w:r>
    </w:p>
    <w:p w:rsidR="00A065F0" w:rsidRDefault="00A065F0">
      <w:pPr>
        <w:pStyle w:val="BodyA"/>
        <w:rPr>
          <w:rFonts w:ascii="Century" w:eastAsia="Century" w:hAnsi="Century" w:cs="Century"/>
          <w:sz w:val="24"/>
          <w:szCs w:val="24"/>
        </w:rPr>
      </w:pPr>
    </w:p>
    <w:p w:rsidR="0060319C" w:rsidRPr="00BE0265" w:rsidRDefault="00455474" w:rsidP="00A065F0">
      <w:pPr>
        <w:pStyle w:val="BodyA"/>
        <w:ind w:firstLine="720"/>
        <w:rPr>
          <w:rFonts w:ascii="Century" w:eastAsia="Century" w:hAnsi="Century" w:cs="Century"/>
          <w:sz w:val="24"/>
          <w:szCs w:val="24"/>
        </w:rPr>
      </w:pPr>
      <w:r>
        <w:rPr>
          <w:rFonts w:ascii="Century" w:eastAsia="Century" w:hAnsi="Century" w:cs="Century"/>
          <w:sz w:val="24"/>
          <w:szCs w:val="24"/>
        </w:rPr>
        <w:t xml:space="preserve">In </w:t>
      </w:r>
      <w:r w:rsidR="00A065F0">
        <w:rPr>
          <w:rFonts w:ascii="Century" w:eastAsia="Century" w:hAnsi="Century" w:cs="Century"/>
          <w:sz w:val="24"/>
          <w:szCs w:val="24"/>
        </w:rPr>
        <w:t xml:space="preserve">the </w:t>
      </w:r>
      <w:r>
        <w:rPr>
          <w:rFonts w:ascii="Century" w:eastAsia="Century" w:hAnsi="Century" w:cs="Century"/>
          <w:sz w:val="24"/>
          <w:szCs w:val="24"/>
        </w:rPr>
        <w:t>state court litigation, o</w:t>
      </w:r>
      <w:r w:rsidR="00C859E7" w:rsidRPr="00BE0265">
        <w:rPr>
          <w:rFonts w:ascii="Century" w:eastAsia="Century" w:hAnsi="Century" w:cs="Century"/>
          <w:sz w:val="24"/>
          <w:szCs w:val="24"/>
        </w:rPr>
        <w:t xml:space="preserve">ne of the groups filed </w:t>
      </w:r>
      <w:r w:rsidR="00C859E7" w:rsidRPr="000E63A4">
        <w:rPr>
          <w:rFonts w:ascii="Century" w:eastAsia="Century" w:hAnsi="Century" w:cs="Century"/>
          <w:i/>
          <w:sz w:val="24"/>
          <w:szCs w:val="24"/>
        </w:rPr>
        <w:t>N.C. Conference of Branches of the NAACP v. State of North Carolina,</w:t>
      </w:r>
      <w:r w:rsidR="00C859E7" w:rsidRPr="00BE0265">
        <w:rPr>
          <w:rFonts w:ascii="Century" w:eastAsia="Century" w:hAnsi="Century" w:cs="Century"/>
          <w:sz w:val="24"/>
          <w:szCs w:val="24"/>
        </w:rPr>
        <w:t xml:space="preserve"> and the other filed </w:t>
      </w:r>
      <w:r w:rsidR="00C859E7" w:rsidRPr="000E63A4">
        <w:rPr>
          <w:rFonts w:ascii="Century" w:eastAsia="Century" w:hAnsi="Century" w:cs="Century"/>
          <w:i/>
          <w:sz w:val="24"/>
          <w:szCs w:val="24"/>
        </w:rPr>
        <w:t>Dickson v. Rucho</w:t>
      </w:r>
      <w:r>
        <w:rPr>
          <w:rFonts w:ascii="Century" w:eastAsia="Century" w:hAnsi="Century" w:cs="Century"/>
          <w:sz w:val="24"/>
          <w:szCs w:val="24"/>
        </w:rPr>
        <w:t xml:space="preserve">, and </w:t>
      </w:r>
      <w:r w:rsidR="00C859E7" w:rsidRPr="00BE0265">
        <w:rPr>
          <w:rFonts w:ascii="Century" w:eastAsia="Century" w:hAnsi="Century" w:cs="Century"/>
          <w:sz w:val="24"/>
          <w:szCs w:val="24"/>
        </w:rPr>
        <w:t xml:space="preserve">three-judge panel consolidated the two cases. </w:t>
      </w:r>
    </w:p>
    <w:p w:rsidR="0060319C" w:rsidRPr="00BE0265" w:rsidRDefault="0060319C">
      <w:pPr>
        <w:pStyle w:val="BodyA"/>
        <w:rPr>
          <w:rFonts w:ascii="Century" w:eastAsia="Century" w:hAnsi="Century" w:cs="Century"/>
          <w:sz w:val="24"/>
          <w:szCs w:val="24"/>
        </w:rPr>
      </w:pPr>
    </w:p>
    <w:p w:rsidR="0060319C" w:rsidRDefault="001E54F7">
      <w:pPr>
        <w:pStyle w:val="BodyA"/>
        <w:rPr>
          <w:rFonts w:ascii="Century" w:eastAsia="Century" w:hAnsi="Century" w:cs="Century"/>
          <w:sz w:val="24"/>
          <w:szCs w:val="24"/>
        </w:rPr>
      </w:pPr>
      <w:r>
        <w:rPr>
          <w:rFonts w:ascii="Century" w:hAnsi="Century"/>
          <w:sz w:val="24"/>
          <w:szCs w:val="24"/>
        </w:rPr>
        <w:tab/>
      </w:r>
      <w:r w:rsidR="00C859E7" w:rsidRPr="00BE0265">
        <w:rPr>
          <w:rFonts w:ascii="Century" w:hAnsi="Century"/>
          <w:sz w:val="24"/>
          <w:szCs w:val="24"/>
        </w:rPr>
        <w:t xml:space="preserve">In comparison to </w:t>
      </w:r>
      <w:r w:rsidR="00C859E7" w:rsidRPr="005E4706">
        <w:rPr>
          <w:rFonts w:ascii="Century" w:hAnsi="Century"/>
          <w:i/>
          <w:sz w:val="24"/>
          <w:szCs w:val="24"/>
        </w:rPr>
        <w:t>Page</w:t>
      </w:r>
      <w:r w:rsidR="00C859E7" w:rsidRPr="00BE0265">
        <w:rPr>
          <w:rFonts w:ascii="Century" w:hAnsi="Century"/>
          <w:sz w:val="24"/>
          <w:szCs w:val="24"/>
        </w:rPr>
        <w:t xml:space="preserve">, </w:t>
      </w:r>
      <w:r w:rsidR="00836E4C">
        <w:rPr>
          <w:rFonts w:ascii="Century" w:hAnsi="Century"/>
          <w:sz w:val="24"/>
          <w:szCs w:val="24"/>
        </w:rPr>
        <w:t xml:space="preserve">the state court took a </w:t>
      </w:r>
      <w:r w:rsidR="00C859E7" w:rsidRPr="00BE0265">
        <w:rPr>
          <w:rFonts w:ascii="Century" w:eastAsia="Century" w:hAnsi="Century" w:cs="Century"/>
          <w:sz w:val="24"/>
          <w:szCs w:val="24"/>
        </w:rPr>
        <w:t xml:space="preserve">dramatically different approach in </w:t>
      </w:r>
      <w:r w:rsidR="00C859E7" w:rsidRPr="00242C09">
        <w:rPr>
          <w:rFonts w:ascii="Century" w:eastAsia="Century" w:hAnsi="Century" w:cs="Century"/>
          <w:i/>
          <w:sz w:val="24"/>
          <w:szCs w:val="24"/>
        </w:rPr>
        <w:t>Dickson</w:t>
      </w:r>
      <w:r w:rsidR="000748B5">
        <w:rPr>
          <w:rFonts w:ascii="Century" w:eastAsia="Century" w:hAnsi="Century" w:cs="Century"/>
          <w:sz w:val="24"/>
          <w:szCs w:val="24"/>
        </w:rPr>
        <w:t xml:space="preserve">. It </w:t>
      </w:r>
      <w:r w:rsidR="00C859E7" w:rsidRPr="00BE0265">
        <w:rPr>
          <w:rFonts w:ascii="Century" w:eastAsia="Century" w:hAnsi="Century" w:cs="Century"/>
          <w:sz w:val="24"/>
          <w:szCs w:val="24"/>
        </w:rPr>
        <w:t xml:space="preserve">found that the enacted plans did not contain a greater number of VRA districts than were reasonably necessary to comply with the VRA because </w:t>
      </w:r>
      <w:r w:rsidR="000748B5">
        <w:rPr>
          <w:rFonts w:ascii="Century" w:eastAsia="Century" w:hAnsi="Century" w:cs="Century"/>
          <w:sz w:val="24"/>
          <w:szCs w:val="24"/>
        </w:rPr>
        <w:t xml:space="preserve">the state legislature had a </w:t>
      </w:r>
      <w:r w:rsidR="00C859E7" w:rsidRPr="00BE0265">
        <w:rPr>
          <w:rFonts w:ascii="Century" w:eastAsia="Century" w:hAnsi="Century" w:cs="Century"/>
          <w:sz w:val="24"/>
          <w:szCs w:val="24"/>
        </w:rPr>
        <w:t>strong basis in evidence for concluding that</w:t>
      </w:r>
      <w:r w:rsidR="000748B5">
        <w:rPr>
          <w:rFonts w:ascii="Century" w:eastAsia="Century" w:hAnsi="Century" w:cs="Century"/>
          <w:sz w:val="24"/>
          <w:szCs w:val="24"/>
        </w:rPr>
        <w:t xml:space="preserve"> rough proportionality was</w:t>
      </w:r>
      <w:r w:rsidR="00C859E7" w:rsidRPr="00BE0265">
        <w:rPr>
          <w:rFonts w:ascii="Century" w:eastAsia="Century" w:hAnsi="Century" w:cs="Century"/>
          <w:sz w:val="24"/>
          <w:szCs w:val="24"/>
        </w:rPr>
        <w:t xml:space="preserve"> reasonably necessary to protect the State from anticipated liability under § 2 of the VRA and ensuring </w:t>
      </w:r>
      <w:r w:rsidR="000748B5">
        <w:rPr>
          <w:rFonts w:ascii="Century" w:eastAsia="Century" w:hAnsi="Century" w:cs="Century"/>
          <w:sz w:val="24"/>
          <w:szCs w:val="24"/>
        </w:rPr>
        <w:t>§ 5 preclearance.</w:t>
      </w:r>
    </w:p>
    <w:p w:rsidR="000748B5" w:rsidRPr="00BE0265" w:rsidRDefault="000748B5">
      <w:pPr>
        <w:pStyle w:val="BodyA"/>
        <w:rPr>
          <w:rFonts w:ascii="Century" w:eastAsia="Century" w:hAnsi="Century" w:cs="Century"/>
          <w:sz w:val="24"/>
          <w:szCs w:val="24"/>
        </w:rPr>
      </w:pPr>
    </w:p>
    <w:p w:rsidR="0060319C" w:rsidRDefault="00C424B6" w:rsidP="00836E4C">
      <w:pPr>
        <w:pStyle w:val="BodyA"/>
        <w:rPr>
          <w:rFonts w:ascii="Century" w:eastAsia="Century" w:hAnsi="Century" w:cs="Century"/>
          <w:sz w:val="24"/>
          <w:szCs w:val="24"/>
        </w:rPr>
      </w:pPr>
      <w:r>
        <w:rPr>
          <w:rFonts w:ascii="Century" w:hAnsi="Century"/>
          <w:sz w:val="24"/>
          <w:szCs w:val="24"/>
        </w:rPr>
        <w:tab/>
      </w:r>
      <w:r w:rsidR="000748B5">
        <w:rPr>
          <w:rFonts w:ascii="Century" w:hAnsi="Century"/>
          <w:sz w:val="24"/>
          <w:szCs w:val="24"/>
        </w:rPr>
        <w:t>T</w:t>
      </w:r>
      <w:r w:rsidR="00C859E7" w:rsidRPr="00BE0265">
        <w:rPr>
          <w:rFonts w:ascii="Century" w:hAnsi="Century"/>
          <w:sz w:val="24"/>
          <w:szCs w:val="24"/>
        </w:rPr>
        <w:t xml:space="preserve">he three-judge court in </w:t>
      </w:r>
      <w:r w:rsidR="00C859E7" w:rsidRPr="00476880">
        <w:rPr>
          <w:rFonts w:ascii="Century" w:hAnsi="Century"/>
          <w:i/>
          <w:sz w:val="24"/>
          <w:szCs w:val="24"/>
        </w:rPr>
        <w:t>Dickson</w:t>
      </w:r>
      <w:r w:rsidR="00C859E7" w:rsidRPr="00BE0265">
        <w:rPr>
          <w:rFonts w:ascii="Century" w:hAnsi="Century"/>
          <w:sz w:val="24"/>
          <w:szCs w:val="24"/>
        </w:rPr>
        <w:t xml:space="preserve"> </w:t>
      </w:r>
      <w:r w:rsidR="00C859E7" w:rsidRPr="00BE0265">
        <w:rPr>
          <w:rFonts w:ascii="Century" w:eastAsia="Century" w:hAnsi="Century" w:cs="Century"/>
          <w:sz w:val="24"/>
          <w:szCs w:val="24"/>
        </w:rPr>
        <w:t>found that the N.C. General Assembly did not unnecessarily "pack" VRA districts with black voters when it endeavored to create all VRA districts with at least fifty percent T</w:t>
      </w:r>
      <w:r w:rsidR="00476880">
        <w:rPr>
          <w:rFonts w:ascii="Century" w:eastAsia="Century" w:hAnsi="Century" w:cs="Century"/>
          <w:sz w:val="24"/>
          <w:szCs w:val="24"/>
        </w:rPr>
        <w:t xml:space="preserve">otal </w:t>
      </w:r>
      <w:r w:rsidR="00C859E7" w:rsidRPr="00BE0265">
        <w:rPr>
          <w:rFonts w:ascii="Century" w:eastAsia="Century" w:hAnsi="Century" w:cs="Century"/>
          <w:sz w:val="24"/>
          <w:szCs w:val="24"/>
        </w:rPr>
        <w:t xml:space="preserve">BVAP in order to avoid liability under section 2. </w:t>
      </w:r>
    </w:p>
    <w:p w:rsidR="0060319C" w:rsidRPr="00BE0265" w:rsidRDefault="0060319C">
      <w:pPr>
        <w:pStyle w:val="BodyA"/>
        <w:rPr>
          <w:rFonts w:ascii="Century" w:eastAsia="Century" w:hAnsi="Century" w:cs="Century"/>
          <w:sz w:val="24"/>
          <w:szCs w:val="24"/>
        </w:rPr>
      </w:pPr>
    </w:p>
    <w:p w:rsidR="00B75F30" w:rsidRPr="00B75F30" w:rsidRDefault="002B0C48" w:rsidP="000748B5">
      <w:pPr>
        <w:pStyle w:val="BodyA"/>
        <w:rPr>
          <w:rFonts w:ascii="Century" w:eastAsia="Century" w:hAnsi="Century" w:cs="Century"/>
          <w:sz w:val="24"/>
          <w:szCs w:val="24"/>
        </w:rPr>
      </w:pPr>
      <w:r>
        <w:rPr>
          <w:rFonts w:ascii="Century" w:hAnsi="Century"/>
          <w:sz w:val="24"/>
          <w:szCs w:val="24"/>
        </w:rPr>
        <w:tab/>
      </w:r>
      <w:r w:rsidR="00B75F30">
        <w:rPr>
          <w:rFonts w:ascii="Century" w:eastAsia="Century" w:hAnsi="Century" w:cs="Century"/>
          <w:sz w:val="24"/>
          <w:szCs w:val="24"/>
        </w:rPr>
        <w:t xml:space="preserve">The final judgment of a majority of the three-judge court in </w:t>
      </w:r>
      <w:r w:rsidR="00B75F30" w:rsidRPr="00B75F30">
        <w:rPr>
          <w:rFonts w:ascii="Century" w:eastAsia="Century" w:hAnsi="Century" w:cs="Century"/>
          <w:i/>
          <w:sz w:val="24"/>
          <w:szCs w:val="24"/>
        </w:rPr>
        <w:t>Dickson v. Rucho</w:t>
      </w:r>
      <w:r w:rsidR="00B75F30">
        <w:rPr>
          <w:rFonts w:ascii="Century" w:eastAsia="Century" w:hAnsi="Century" w:cs="Century"/>
          <w:sz w:val="24"/>
          <w:szCs w:val="24"/>
        </w:rPr>
        <w:t xml:space="preserve"> was the subject of a petition for writ of certiorari, which was granted by the U.S. Supreme Court on April 20, 2015, and the lower court’s judgment was vacated and the case was remanded </w:t>
      </w:r>
      <w:r w:rsidR="00B75F30" w:rsidRPr="00B75F30">
        <w:rPr>
          <w:rFonts w:ascii="Century" w:eastAsia="Century" w:hAnsi="Century" w:cs="Century"/>
          <w:sz w:val="24"/>
          <w:szCs w:val="24"/>
        </w:rPr>
        <w:t xml:space="preserve">for further consideration in light of </w:t>
      </w:r>
      <w:r w:rsidR="00B75F30" w:rsidRPr="00F87843">
        <w:rPr>
          <w:rFonts w:ascii="Century" w:eastAsia="Century" w:hAnsi="Century" w:cs="Century"/>
          <w:i/>
          <w:sz w:val="24"/>
          <w:szCs w:val="24"/>
        </w:rPr>
        <w:t>Alabama Legislative Black Caucus v. Alabama</w:t>
      </w:r>
      <w:r w:rsidR="00B75F30" w:rsidRPr="00B75F30">
        <w:rPr>
          <w:rFonts w:ascii="Century" w:eastAsia="Century" w:hAnsi="Century" w:cs="Century"/>
          <w:sz w:val="24"/>
          <w:szCs w:val="24"/>
        </w:rPr>
        <w:t>, 575 U. S. ___ (2015).</w:t>
      </w:r>
      <w:r w:rsidR="00B75F30" w:rsidRPr="00B75F30">
        <w:t xml:space="preserve"> </w:t>
      </w:r>
      <w:r w:rsidR="00B75F30" w:rsidRPr="00B75F30">
        <w:rPr>
          <w:rFonts w:ascii="Century" w:hAnsi="Century"/>
          <w:i/>
          <w:sz w:val="24"/>
          <w:szCs w:val="24"/>
        </w:rPr>
        <w:t>Dickson v. Rucho</w:t>
      </w:r>
      <w:r w:rsidR="00B75F30" w:rsidRPr="00B75F30">
        <w:rPr>
          <w:rFonts w:ascii="Century" w:hAnsi="Century"/>
          <w:sz w:val="24"/>
          <w:szCs w:val="24"/>
        </w:rPr>
        <w:t>, 135 S.Ct. 1843</w:t>
      </w:r>
      <w:r w:rsidR="00B75F30">
        <w:rPr>
          <w:rFonts w:ascii="Century" w:hAnsi="Century"/>
          <w:sz w:val="24"/>
          <w:szCs w:val="24"/>
        </w:rPr>
        <w:t>, 191 L.Ed. 2d 719, 575 U.S. ____</w:t>
      </w:r>
      <w:r w:rsidR="00B75F30" w:rsidRPr="00B75F30">
        <w:rPr>
          <w:rFonts w:ascii="Century" w:hAnsi="Century"/>
          <w:sz w:val="24"/>
          <w:szCs w:val="24"/>
        </w:rPr>
        <w:t xml:space="preserve"> (April 20, 2015); see SCOTUSBLOG at </w:t>
      </w:r>
      <w:hyperlink r:id="rId9" w:history="1">
        <w:r w:rsidR="00B75F30" w:rsidRPr="00B75F30">
          <w:rPr>
            <w:rStyle w:val="Hyperlink"/>
            <w:rFonts w:ascii="Century" w:hAnsi="Century"/>
            <w:sz w:val="24"/>
            <w:szCs w:val="24"/>
          </w:rPr>
          <w:t>h</w:t>
        </w:r>
        <w:r w:rsidR="00B75F30" w:rsidRPr="00B75F30">
          <w:rPr>
            <w:rStyle w:val="Hyperlink"/>
            <w:rFonts w:ascii="Century" w:eastAsia="Century" w:hAnsi="Century" w:cs="Century"/>
            <w:sz w:val="24"/>
            <w:szCs w:val="24"/>
          </w:rPr>
          <w:t>ttp://www.scotusblog.com/case-files/cases/dickson-v-rucho/</w:t>
        </w:r>
      </w:hyperlink>
    </w:p>
    <w:p w:rsidR="00836E4C" w:rsidRDefault="00836E4C" w:rsidP="00F87843">
      <w:pPr>
        <w:pStyle w:val="BodyA"/>
        <w:rPr>
          <w:rFonts w:ascii="Century" w:eastAsia="Century" w:hAnsi="Century" w:cs="Century"/>
          <w:sz w:val="24"/>
          <w:szCs w:val="24"/>
        </w:rPr>
      </w:pPr>
    </w:p>
    <w:p w:rsidR="00836E4C" w:rsidRDefault="00836E4C" w:rsidP="00F87843">
      <w:pPr>
        <w:pStyle w:val="BodyA"/>
        <w:rPr>
          <w:rFonts w:ascii="Century" w:eastAsia="Century" w:hAnsi="Century" w:cs="Century"/>
          <w:sz w:val="24"/>
          <w:szCs w:val="24"/>
        </w:rPr>
      </w:pPr>
    </w:p>
    <w:p w:rsidR="0060319C" w:rsidRDefault="00B137B1" w:rsidP="003D3E8E">
      <w:pPr>
        <w:pStyle w:val="BodyA"/>
        <w:rPr>
          <w:rFonts w:ascii="Century" w:eastAsia="Century" w:hAnsi="Century" w:cs="Century"/>
          <w:sz w:val="24"/>
          <w:szCs w:val="24"/>
        </w:rPr>
      </w:pPr>
      <w:r>
        <w:rPr>
          <w:rFonts w:ascii="Century" w:eastAsia="Century" w:hAnsi="Century" w:cs="Century"/>
          <w:sz w:val="24"/>
          <w:szCs w:val="24"/>
        </w:rPr>
        <w:tab/>
      </w:r>
      <w:r w:rsidR="00C859E7" w:rsidRPr="00BE0265">
        <w:rPr>
          <w:rFonts w:ascii="Century" w:eastAsia="Century" w:hAnsi="Century" w:cs="Century"/>
          <w:sz w:val="24"/>
          <w:szCs w:val="24"/>
        </w:rPr>
        <w:t xml:space="preserve">In </w:t>
      </w:r>
      <w:r w:rsidR="00C859E7" w:rsidRPr="00E235F8">
        <w:rPr>
          <w:rFonts w:ascii="Century" w:eastAsia="Century" w:hAnsi="Century" w:cs="Century"/>
          <w:i/>
          <w:sz w:val="24"/>
          <w:szCs w:val="24"/>
        </w:rPr>
        <w:t>Harris v. McCrory</w:t>
      </w:r>
      <w:r w:rsidR="00C859E7" w:rsidRPr="00BE0265">
        <w:rPr>
          <w:rFonts w:ascii="Century" w:eastAsia="Century" w:hAnsi="Century" w:cs="Century"/>
          <w:sz w:val="24"/>
          <w:szCs w:val="24"/>
        </w:rPr>
        <w:t>, Plaintiffs</w:t>
      </w:r>
      <w:r w:rsidR="00A065F0">
        <w:rPr>
          <w:rFonts w:ascii="Century" w:eastAsia="Century" w:hAnsi="Century" w:cs="Century"/>
          <w:sz w:val="24"/>
          <w:szCs w:val="24"/>
        </w:rPr>
        <w:t xml:space="preserve"> initiated their legal action in federal court, challenging </w:t>
      </w:r>
      <w:r w:rsidR="00C859E7" w:rsidRPr="00BE0265">
        <w:rPr>
          <w:rFonts w:ascii="Century" w:eastAsia="Century" w:hAnsi="Century" w:cs="Century"/>
          <w:sz w:val="24"/>
          <w:szCs w:val="24"/>
        </w:rPr>
        <w:t>the constitutionality of the North Carolina General Assembly's 2011 Congressional Redistricting Plan</w:t>
      </w:r>
      <w:r w:rsidR="00A065F0">
        <w:rPr>
          <w:rFonts w:ascii="Century" w:eastAsia="Century" w:hAnsi="Century" w:cs="Century"/>
          <w:sz w:val="24"/>
          <w:szCs w:val="24"/>
        </w:rPr>
        <w:t xml:space="preserve">. They alleged </w:t>
      </w:r>
      <w:r w:rsidR="00C859E7" w:rsidRPr="00BE0265">
        <w:rPr>
          <w:rFonts w:ascii="Century" w:eastAsia="Century" w:hAnsi="Century" w:cs="Century"/>
          <w:sz w:val="24"/>
          <w:szCs w:val="24"/>
        </w:rPr>
        <w:t xml:space="preserve">that North Carolina's Congressional District 1 and Congressional District 12 were racial gerrymanders in violation of the Equal Protection Clause of the Fourteenth Amendment. On February 5, 2016, following a three-day bench trial, a three-judge court convened in the Middle District of North Carolina held that the plaintiffs had carried their burden of proving that race predominated in both districts and that defendants had failed to establish that such race-based redistricting satisfied strict scrutiny. </w:t>
      </w:r>
      <w:r w:rsidR="00F87843" w:rsidRPr="006A0DAD">
        <w:rPr>
          <w:rFonts w:ascii="Century" w:eastAsia="Century" w:hAnsi="Century" w:cs="Century"/>
          <w:i/>
          <w:sz w:val="24"/>
          <w:szCs w:val="24"/>
        </w:rPr>
        <w:t>Harris v. McCrory</w:t>
      </w:r>
      <w:r w:rsidR="00F87843" w:rsidRPr="00F87843">
        <w:rPr>
          <w:rFonts w:ascii="Century" w:eastAsia="Century" w:hAnsi="Century" w:cs="Century"/>
          <w:sz w:val="24"/>
          <w:szCs w:val="24"/>
        </w:rPr>
        <w:t xml:space="preserve">, 2016 WL 482052 (M.D.N.C. Feb. 5, 2016). </w:t>
      </w:r>
      <w:r w:rsidR="000748B5">
        <w:rPr>
          <w:rFonts w:ascii="Century" w:eastAsia="Century" w:hAnsi="Century" w:cs="Century"/>
          <w:sz w:val="24"/>
          <w:szCs w:val="24"/>
        </w:rPr>
        <w:t>New</w:t>
      </w:r>
      <w:r w:rsidR="00F87843" w:rsidRPr="00F87843">
        <w:rPr>
          <w:rFonts w:ascii="Century" w:eastAsia="Century" w:hAnsi="Century" w:cs="Century"/>
          <w:sz w:val="24"/>
          <w:szCs w:val="24"/>
        </w:rPr>
        <w:t xml:space="preserve"> congressional districts </w:t>
      </w:r>
      <w:r w:rsidR="000748B5">
        <w:rPr>
          <w:rFonts w:ascii="Century" w:eastAsia="Century" w:hAnsi="Century" w:cs="Century"/>
          <w:sz w:val="24"/>
          <w:szCs w:val="24"/>
        </w:rPr>
        <w:t xml:space="preserve">were ordered to </w:t>
      </w:r>
      <w:r w:rsidR="00F87843" w:rsidRPr="00F87843">
        <w:rPr>
          <w:rFonts w:ascii="Century" w:eastAsia="Century" w:hAnsi="Century" w:cs="Century"/>
          <w:sz w:val="24"/>
          <w:szCs w:val="24"/>
        </w:rPr>
        <w:t xml:space="preserve">be drawn forthwith to remedy the unconstitutional districts. </w:t>
      </w:r>
      <w:r w:rsidR="00DB7097">
        <w:rPr>
          <w:rFonts w:ascii="Century" w:eastAsia="Century" w:hAnsi="Century" w:cs="Century"/>
          <w:sz w:val="24"/>
          <w:szCs w:val="24"/>
        </w:rPr>
        <w:t xml:space="preserve">Probable jurisdiction was noted June 27, 2016. See </w:t>
      </w:r>
      <w:r w:rsidR="00DB7097" w:rsidRPr="00DB7097">
        <w:rPr>
          <w:rFonts w:ascii="Century" w:eastAsia="Century" w:hAnsi="Century" w:cs="Century"/>
          <w:sz w:val="24"/>
          <w:szCs w:val="24"/>
        </w:rPr>
        <w:t>136 S.Ct. 1001 (2016)</w:t>
      </w:r>
      <w:r w:rsidR="00DB7097">
        <w:rPr>
          <w:rFonts w:ascii="Century" w:eastAsia="Century" w:hAnsi="Century" w:cs="Century"/>
          <w:sz w:val="24"/>
          <w:szCs w:val="24"/>
        </w:rPr>
        <w:t>.</w:t>
      </w:r>
    </w:p>
    <w:p w:rsidR="002B29D2" w:rsidRDefault="002B29D2">
      <w:pPr>
        <w:pStyle w:val="BodyA"/>
        <w:rPr>
          <w:rFonts w:ascii="Century" w:eastAsia="Century" w:hAnsi="Century" w:cs="Century"/>
          <w:sz w:val="24"/>
          <w:szCs w:val="24"/>
        </w:rPr>
      </w:pPr>
    </w:p>
    <w:p w:rsidR="002B29D2" w:rsidRPr="002B29D2" w:rsidRDefault="002B29D2" w:rsidP="0020121F">
      <w:pPr>
        <w:pStyle w:val="BodyA"/>
        <w:rPr>
          <w:rFonts w:ascii="Century" w:eastAsia="Century" w:hAnsi="Century" w:cs="Century"/>
          <w:sz w:val="24"/>
          <w:szCs w:val="24"/>
        </w:rPr>
      </w:pPr>
      <w:r w:rsidRPr="002B29D2">
        <w:rPr>
          <w:rFonts w:ascii="Century" w:eastAsia="Century" w:hAnsi="Century" w:cs="Century"/>
          <w:sz w:val="24"/>
          <w:szCs w:val="24"/>
        </w:rPr>
        <w:tab/>
      </w:r>
      <w:r w:rsidR="00836E4C">
        <w:rPr>
          <w:rFonts w:ascii="Century" w:eastAsia="Century" w:hAnsi="Century" w:cs="Century"/>
          <w:sz w:val="24"/>
          <w:szCs w:val="24"/>
        </w:rPr>
        <w:t xml:space="preserve"> As </w:t>
      </w:r>
      <w:r w:rsidR="0020121F">
        <w:rPr>
          <w:rFonts w:ascii="Century" w:eastAsia="Century" w:hAnsi="Century" w:cs="Century"/>
          <w:sz w:val="24"/>
          <w:szCs w:val="24"/>
        </w:rPr>
        <w:t xml:space="preserve">the litigants in the </w:t>
      </w:r>
      <w:r w:rsidRPr="002B29D2">
        <w:rPr>
          <w:rFonts w:ascii="Century" w:eastAsia="Century" w:hAnsi="Century" w:cs="Century"/>
          <w:sz w:val="24"/>
          <w:szCs w:val="24"/>
        </w:rPr>
        <w:t xml:space="preserve">Virginia and North Carolina </w:t>
      </w:r>
      <w:r w:rsidR="0020121F">
        <w:rPr>
          <w:rFonts w:ascii="Century" w:eastAsia="Century" w:hAnsi="Century" w:cs="Century"/>
          <w:sz w:val="24"/>
          <w:szCs w:val="24"/>
        </w:rPr>
        <w:t xml:space="preserve">racial gerrymandering cases </w:t>
      </w:r>
      <w:r w:rsidR="00836E4C">
        <w:rPr>
          <w:rFonts w:ascii="Century" w:eastAsia="Century" w:hAnsi="Century" w:cs="Century"/>
          <w:sz w:val="24"/>
          <w:szCs w:val="24"/>
        </w:rPr>
        <w:t xml:space="preserve">were rushing </w:t>
      </w:r>
      <w:r w:rsidRPr="002B29D2">
        <w:rPr>
          <w:rFonts w:ascii="Century" w:eastAsia="Century" w:hAnsi="Century" w:cs="Century"/>
          <w:sz w:val="24"/>
          <w:szCs w:val="24"/>
        </w:rPr>
        <w:t>to the S</w:t>
      </w:r>
      <w:r w:rsidR="006A0DAD">
        <w:rPr>
          <w:rFonts w:ascii="Century" w:eastAsia="Century" w:hAnsi="Century" w:cs="Century"/>
          <w:sz w:val="24"/>
          <w:szCs w:val="24"/>
        </w:rPr>
        <w:t xml:space="preserve">upreme Court for a resolution, the Court </w:t>
      </w:r>
      <w:r w:rsidRPr="002B29D2">
        <w:rPr>
          <w:rFonts w:ascii="Century" w:eastAsia="Century" w:hAnsi="Century" w:cs="Century"/>
          <w:sz w:val="24"/>
          <w:szCs w:val="24"/>
        </w:rPr>
        <w:t xml:space="preserve">lost one of its most conservative Justices, Antonin Scalia. </w:t>
      </w:r>
      <w:r w:rsidR="0084116B">
        <w:rPr>
          <w:rFonts w:ascii="Century" w:eastAsia="Century" w:hAnsi="Century" w:cs="Century"/>
          <w:sz w:val="24"/>
          <w:szCs w:val="24"/>
        </w:rPr>
        <w:t xml:space="preserve">Both the </w:t>
      </w:r>
      <w:r w:rsidRPr="002B29D2">
        <w:rPr>
          <w:rFonts w:ascii="Century" w:eastAsia="Century" w:hAnsi="Century" w:cs="Century"/>
          <w:sz w:val="24"/>
          <w:szCs w:val="24"/>
        </w:rPr>
        <w:t xml:space="preserve">Virginia and North Carolina </w:t>
      </w:r>
      <w:r w:rsidR="0084116B">
        <w:rPr>
          <w:rFonts w:ascii="Century" w:eastAsia="Century" w:hAnsi="Century" w:cs="Century"/>
          <w:sz w:val="24"/>
          <w:szCs w:val="24"/>
        </w:rPr>
        <w:t xml:space="preserve">cases focused </w:t>
      </w:r>
      <w:r w:rsidRPr="002B29D2">
        <w:rPr>
          <w:rFonts w:ascii="Century" w:eastAsia="Century" w:hAnsi="Century" w:cs="Century"/>
          <w:sz w:val="24"/>
          <w:szCs w:val="24"/>
        </w:rPr>
        <w:t>on the same question: To what extent can a state legislature rely upon race in the drawing of districts and invoke as a justification for race-based districting the desire to avoid potential liability under the Section 2 and Section 5 of the Voting Rights Act?</w:t>
      </w:r>
    </w:p>
    <w:p w:rsidR="002B29D2" w:rsidRPr="002B29D2" w:rsidRDefault="002B29D2" w:rsidP="00C81A11">
      <w:pPr>
        <w:pStyle w:val="BodyA"/>
        <w:jc w:val="center"/>
        <w:rPr>
          <w:rFonts w:ascii="Century" w:eastAsia="Century" w:hAnsi="Century" w:cs="Century"/>
          <w:sz w:val="24"/>
          <w:szCs w:val="24"/>
        </w:rPr>
      </w:pPr>
    </w:p>
    <w:p w:rsidR="002B29D2" w:rsidRPr="002B29D2" w:rsidRDefault="002B29D2" w:rsidP="002B29D2">
      <w:pPr>
        <w:pStyle w:val="BodyA"/>
        <w:rPr>
          <w:rFonts w:ascii="Century" w:eastAsia="Century" w:hAnsi="Century" w:cs="Century"/>
          <w:sz w:val="24"/>
          <w:szCs w:val="24"/>
        </w:rPr>
      </w:pPr>
      <w:r w:rsidRPr="002B29D2">
        <w:rPr>
          <w:rFonts w:ascii="Century" w:eastAsia="Century" w:hAnsi="Century" w:cs="Century"/>
          <w:sz w:val="24"/>
          <w:szCs w:val="24"/>
        </w:rPr>
        <w:t xml:space="preserve"> </w:t>
      </w:r>
      <w:r>
        <w:rPr>
          <w:rFonts w:ascii="Century" w:eastAsia="Century" w:hAnsi="Century" w:cs="Century"/>
          <w:sz w:val="24"/>
          <w:szCs w:val="24"/>
        </w:rPr>
        <w:tab/>
      </w:r>
      <w:r w:rsidRPr="002B29D2">
        <w:rPr>
          <w:rFonts w:ascii="Century" w:eastAsia="Century" w:hAnsi="Century" w:cs="Century"/>
          <w:sz w:val="24"/>
          <w:szCs w:val="24"/>
        </w:rPr>
        <w:t>The issue</w:t>
      </w:r>
      <w:r w:rsidR="000748B5">
        <w:rPr>
          <w:rFonts w:ascii="Century" w:eastAsia="Century" w:hAnsi="Century" w:cs="Century"/>
          <w:sz w:val="24"/>
          <w:szCs w:val="24"/>
        </w:rPr>
        <w:t>s</w:t>
      </w:r>
      <w:r w:rsidRPr="002B29D2">
        <w:rPr>
          <w:rFonts w:ascii="Century" w:eastAsia="Century" w:hAnsi="Century" w:cs="Century"/>
          <w:sz w:val="24"/>
          <w:szCs w:val="24"/>
        </w:rPr>
        <w:t xml:space="preserve"> raised in the Virginia and North Carolina cases </w:t>
      </w:r>
      <w:r w:rsidR="0020121F">
        <w:rPr>
          <w:rFonts w:ascii="Century" w:eastAsia="Century" w:hAnsi="Century" w:cs="Century"/>
          <w:sz w:val="24"/>
          <w:szCs w:val="24"/>
        </w:rPr>
        <w:t>concerning the role of race in redistricting go</w:t>
      </w:r>
      <w:r w:rsidRPr="002B29D2">
        <w:rPr>
          <w:rFonts w:ascii="Century" w:eastAsia="Century" w:hAnsi="Century" w:cs="Century"/>
          <w:sz w:val="24"/>
          <w:szCs w:val="24"/>
        </w:rPr>
        <w:t xml:space="preserve"> to the heart of our Nation's much-tattered, but still intact, concept that the United States Constitution is colorblind. </w:t>
      </w:r>
    </w:p>
    <w:p w:rsidR="002B29D2" w:rsidRDefault="002B29D2" w:rsidP="002B29D2">
      <w:pPr>
        <w:pStyle w:val="BodyA"/>
        <w:rPr>
          <w:rFonts w:ascii="Century" w:eastAsia="Century" w:hAnsi="Century" w:cs="Century"/>
          <w:sz w:val="24"/>
          <w:szCs w:val="24"/>
        </w:rPr>
      </w:pPr>
    </w:p>
    <w:p w:rsidR="00A065F0" w:rsidRDefault="00A065F0" w:rsidP="002B29D2">
      <w:pPr>
        <w:pStyle w:val="BodyA"/>
        <w:rPr>
          <w:rFonts w:ascii="Century" w:eastAsia="Century" w:hAnsi="Century" w:cs="Century"/>
          <w:sz w:val="24"/>
          <w:szCs w:val="24"/>
        </w:rPr>
      </w:pPr>
    </w:p>
    <w:p w:rsidR="00A065F0" w:rsidRPr="00A065F0" w:rsidRDefault="00A065F0" w:rsidP="00A065F0">
      <w:pPr>
        <w:pStyle w:val="BodyA"/>
        <w:jc w:val="center"/>
        <w:rPr>
          <w:rFonts w:ascii="Century" w:eastAsia="Century" w:hAnsi="Century" w:cs="Century"/>
          <w:b/>
          <w:sz w:val="24"/>
          <w:szCs w:val="24"/>
        </w:rPr>
      </w:pPr>
      <w:r w:rsidRPr="00A065F0">
        <w:rPr>
          <w:rFonts w:ascii="Century" w:eastAsia="Century" w:hAnsi="Century" w:cs="Century"/>
          <w:b/>
          <w:sz w:val="24"/>
          <w:szCs w:val="24"/>
        </w:rPr>
        <w:t>4-4 Division on Pending Cases</w:t>
      </w:r>
    </w:p>
    <w:p w:rsidR="00A065F0" w:rsidRPr="00A065F0" w:rsidRDefault="00A065F0" w:rsidP="00A065F0">
      <w:pPr>
        <w:pStyle w:val="BodyA"/>
        <w:rPr>
          <w:rFonts w:ascii="Century" w:eastAsia="Century" w:hAnsi="Century" w:cs="Century"/>
          <w:sz w:val="24"/>
          <w:szCs w:val="24"/>
        </w:rPr>
      </w:pPr>
    </w:p>
    <w:p w:rsidR="00A065F0" w:rsidRDefault="00A065F0" w:rsidP="00A065F0">
      <w:pPr>
        <w:pStyle w:val="BodyA"/>
        <w:ind w:firstLine="720"/>
        <w:rPr>
          <w:rFonts w:ascii="Century" w:eastAsia="Century" w:hAnsi="Century" w:cs="Century"/>
          <w:sz w:val="24"/>
          <w:szCs w:val="24"/>
        </w:rPr>
      </w:pPr>
      <w:r w:rsidRPr="00A065F0">
        <w:rPr>
          <w:rFonts w:ascii="Century" w:eastAsia="Century" w:hAnsi="Century" w:cs="Century"/>
          <w:sz w:val="24"/>
          <w:szCs w:val="24"/>
        </w:rPr>
        <w:t xml:space="preserve">A 4-4 decision in </w:t>
      </w:r>
      <w:r>
        <w:rPr>
          <w:rFonts w:ascii="Century" w:eastAsia="Century" w:hAnsi="Century" w:cs="Century"/>
          <w:sz w:val="24"/>
          <w:szCs w:val="24"/>
        </w:rPr>
        <w:t>any of these cases w</w:t>
      </w:r>
      <w:r w:rsidRPr="00A065F0">
        <w:rPr>
          <w:rFonts w:ascii="Century" w:eastAsia="Century" w:hAnsi="Century" w:cs="Century"/>
          <w:sz w:val="24"/>
          <w:szCs w:val="24"/>
        </w:rPr>
        <w:t>ould mean affirmance of the lower court’s decision that upheld the challenged districting scheme. In light of Justice Scalia’s untimely death in the midst of th</w:t>
      </w:r>
      <w:r>
        <w:rPr>
          <w:rFonts w:ascii="Century" w:eastAsia="Century" w:hAnsi="Century" w:cs="Century"/>
          <w:sz w:val="24"/>
          <w:szCs w:val="24"/>
        </w:rPr>
        <w:t xml:space="preserve">ese and </w:t>
      </w:r>
      <w:r w:rsidRPr="00A065F0">
        <w:rPr>
          <w:rFonts w:ascii="Century" w:eastAsia="Century" w:hAnsi="Century" w:cs="Century"/>
          <w:sz w:val="24"/>
          <w:szCs w:val="24"/>
        </w:rPr>
        <w:t xml:space="preserve">related appeals, some Court observers </w:t>
      </w:r>
      <w:r>
        <w:rPr>
          <w:rFonts w:ascii="Century" w:eastAsia="Century" w:hAnsi="Century" w:cs="Century"/>
          <w:sz w:val="24"/>
          <w:szCs w:val="24"/>
        </w:rPr>
        <w:t xml:space="preserve">have predicted that </w:t>
      </w:r>
      <w:r w:rsidRPr="00A065F0">
        <w:rPr>
          <w:rFonts w:ascii="Century" w:eastAsia="Century" w:hAnsi="Century" w:cs="Century"/>
          <w:sz w:val="24"/>
          <w:szCs w:val="24"/>
        </w:rPr>
        <w:t xml:space="preserve">the Court is likely to remain evenly divided for the foreseeable future. When the Court divides evenly on a case pending before it, the lower court’s order stands and the Supreme Court’s consideration of the case has no precedential value, just as if the justices never agreed to take up the case in the first place. Think Progress, Feb. 13, 2016, at </w:t>
      </w:r>
      <w:hyperlink r:id="rId10" w:history="1">
        <w:r w:rsidRPr="00C60166">
          <w:rPr>
            <w:rStyle w:val="Hyperlink"/>
            <w:rFonts w:ascii="Century" w:eastAsia="Century" w:hAnsi="Century" w:cs="Century"/>
            <w:sz w:val="24"/>
            <w:szCs w:val="24"/>
          </w:rPr>
          <w:t>http://thinkprogress.org/justice/2016/02/13/3749464/the-simply-breathtaking-consequences-of-justice-scalias-death/</w:t>
        </w:r>
      </w:hyperlink>
    </w:p>
    <w:p w:rsidR="00A065F0" w:rsidRPr="002B29D2" w:rsidRDefault="00A065F0" w:rsidP="00A065F0">
      <w:pPr>
        <w:pStyle w:val="BodyA"/>
        <w:ind w:firstLine="720"/>
        <w:rPr>
          <w:rFonts w:ascii="Century" w:eastAsia="Century" w:hAnsi="Century" w:cs="Century"/>
          <w:sz w:val="24"/>
          <w:szCs w:val="24"/>
        </w:rPr>
      </w:pPr>
    </w:p>
    <w:p w:rsidR="002B29D2" w:rsidRDefault="002B29D2" w:rsidP="00537595">
      <w:pPr>
        <w:pStyle w:val="BodyA"/>
        <w:rPr>
          <w:rFonts w:ascii="Century" w:eastAsia="Century" w:hAnsi="Century" w:cs="Century"/>
          <w:sz w:val="24"/>
          <w:szCs w:val="24"/>
        </w:rPr>
      </w:pPr>
      <w:r w:rsidRPr="002B29D2">
        <w:rPr>
          <w:rFonts w:ascii="Century" w:eastAsia="Century" w:hAnsi="Century" w:cs="Century"/>
          <w:sz w:val="24"/>
          <w:szCs w:val="24"/>
        </w:rPr>
        <w:tab/>
      </w:r>
      <w:r w:rsidR="00DB7097">
        <w:rPr>
          <w:rFonts w:ascii="Century" w:eastAsia="Century" w:hAnsi="Century" w:cs="Century"/>
          <w:sz w:val="24"/>
          <w:szCs w:val="24"/>
        </w:rPr>
        <w:t>T</w:t>
      </w:r>
      <w:r w:rsidRPr="002B29D2">
        <w:rPr>
          <w:rFonts w:ascii="Century" w:eastAsia="Century" w:hAnsi="Century" w:cs="Century"/>
          <w:sz w:val="24"/>
          <w:szCs w:val="24"/>
        </w:rPr>
        <w:t>he Virginia case was the first to be calendared for oral argument, and it proved that this knotty issue was not the kind of legal issue that can be resolved with any degree of certainty by an evenly divided eight</w:t>
      </w:r>
      <w:r w:rsidR="00537595">
        <w:rPr>
          <w:rFonts w:ascii="Century" w:eastAsia="Century" w:hAnsi="Century" w:cs="Century"/>
          <w:sz w:val="24"/>
          <w:szCs w:val="24"/>
        </w:rPr>
        <w:t xml:space="preserve">-member Court. The Court avoided a decision on the merits by holding that </w:t>
      </w:r>
      <w:r w:rsidRPr="002B29D2">
        <w:rPr>
          <w:rFonts w:ascii="Century" w:eastAsia="Century" w:hAnsi="Century" w:cs="Century"/>
          <w:sz w:val="24"/>
          <w:szCs w:val="24"/>
        </w:rPr>
        <w:t>members of Congress – and there were almost a dozen as Plaintiffs in the Virginia case</w:t>
      </w:r>
      <w:r w:rsidR="00537595">
        <w:rPr>
          <w:rFonts w:ascii="Century" w:eastAsia="Century" w:hAnsi="Century" w:cs="Century"/>
          <w:sz w:val="24"/>
          <w:szCs w:val="24"/>
        </w:rPr>
        <w:t xml:space="preserve"> -</w:t>
      </w:r>
      <w:r w:rsidRPr="002B29D2">
        <w:rPr>
          <w:rFonts w:ascii="Century" w:eastAsia="Century" w:hAnsi="Century" w:cs="Century"/>
          <w:sz w:val="24"/>
          <w:szCs w:val="24"/>
        </w:rPr>
        <w:t xml:space="preserve"> have no standing to litigate the issue. </w:t>
      </w:r>
      <w:r w:rsidR="00DB7097" w:rsidRPr="00DB7097">
        <w:rPr>
          <w:rFonts w:ascii="Century" w:eastAsia="Century" w:hAnsi="Century" w:cs="Century"/>
          <w:i/>
          <w:sz w:val="24"/>
          <w:szCs w:val="24"/>
        </w:rPr>
        <w:t>Wittman v. Personhuballah</w:t>
      </w:r>
      <w:r w:rsidR="00DB7097" w:rsidRPr="00DB7097">
        <w:rPr>
          <w:rFonts w:ascii="Century" w:eastAsia="Century" w:hAnsi="Century" w:cs="Century"/>
          <w:sz w:val="24"/>
          <w:szCs w:val="24"/>
        </w:rPr>
        <w:t>, 136 S. Ct. 1732</w:t>
      </w:r>
      <w:r w:rsidR="00DB7097">
        <w:rPr>
          <w:rFonts w:ascii="Century" w:eastAsia="Century" w:hAnsi="Century" w:cs="Century"/>
          <w:sz w:val="24"/>
          <w:szCs w:val="24"/>
        </w:rPr>
        <w:t xml:space="preserve"> (2016). </w:t>
      </w:r>
      <w:r w:rsidRPr="002B29D2">
        <w:rPr>
          <w:rFonts w:ascii="Century" w:eastAsia="Century" w:hAnsi="Century" w:cs="Century"/>
          <w:sz w:val="24"/>
          <w:szCs w:val="24"/>
        </w:rPr>
        <w:t>Put another way, Congressmen have no right to pick their voters</w:t>
      </w:r>
      <w:r w:rsidR="00AD58C9">
        <w:rPr>
          <w:rFonts w:ascii="Century" w:eastAsia="Century" w:hAnsi="Century" w:cs="Century"/>
          <w:sz w:val="24"/>
          <w:szCs w:val="24"/>
        </w:rPr>
        <w:t>.</w:t>
      </w:r>
    </w:p>
    <w:p w:rsidR="005C7B0D" w:rsidRDefault="005C7B0D" w:rsidP="002B29D2">
      <w:pPr>
        <w:pStyle w:val="BodyA"/>
        <w:ind w:firstLine="720"/>
        <w:rPr>
          <w:rFonts w:ascii="Century" w:eastAsia="Century" w:hAnsi="Century" w:cs="Century"/>
          <w:sz w:val="24"/>
          <w:szCs w:val="24"/>
        </w:rPr>
      </w:pPr>
    </w:p>
    <w:p w:rsidR="005C7B0D" w:rsidRDefault="005305ED" w:rsidP="0084116B">
      <w:pPr>
        <w:pStyle w:val="BodyA"/>
        <w:ind w:left="2160" w:firstLine="720"/>
        <w:rPr>
          <w:rFonts w:ascii="Century" w:eastAsia="Century" w:hAnsi="Century" w:cs="Century"/>
          <w:b/>
          <w:sz w:val="24"/>
          <w:szCs w:val="24"/>
        </w:rPr>
      </w:pPr>
      <w:r w:rsidRPr="005305ED">
        <w:rPr>
          <w:rFonts w:ascii="Century" w:eastAsia="Century" w:hAnsi="Century" w:cs="Century"/>
          <w:b/>
          <w:sz w:val="24"/>
          <w:szCs w:val="24"/>
        </w:rPr>
        <w:t>Political Gerrymandering</w:t>
      </w:r>
      <w:r w:rsidR="0084116B">
        <w:rPr>
          <w:rFonts w:ascii="Century" w:eastAsia="Century" w:hAnsi="Century" w:cs="Century"/>
          <w:b/>
          <w:sz w:val="24"/>
          <w:szCs w:val="24"/>
        </w:rPr>
        <w:t xml:space="preserve"> Claims</w:t>
      </w:r>
      <w:r w:rsidRPr="005305ED">
        <w:rPr>
          <w:rFonts w:ascii="Century" w:eastAsia="Century" w:hAnsi="Century" w:cs="Century"/>
          <w:b/>
          <w:sz w:val="24"/>
          <w:szCs w:val="24"/>
        </w:rPr>
        <w:t xml:space="preserve"> </w:t>
      </w:r>
    </w:p>
    <w:p w:rsidR="0084116B" w:rsidRPr="0084116B" w:rsidRDefault="0084116B" w:rsidP="0084116B">
      <w:pPr>
        <w:pStyle w:val="BodyA"/>
        <w:rPr>
          <w:rFonts w:ascii="Century" w:eastAsia="Century" w:hAnsi="Century" w:cs="Century"/>
          <w:sz w:val="24"/>
          <w:szCs w:val="24"/>
        </w:rPr>
      </w:pPr>
    </w:p>
    <w:p w:rsidR="0084116B" w:rsidRDefault="0084116B" w:rsidP="0084116B">
      <w:pPr>
        <w:pStyle w:val="BodyA"/>
        <w:ind w:firstLine="720"/>
        <w:rPr>
          <w:rFonts w:ascii="Century" w:eastAsia="Century" w:hAnsi="Century" w:cs="Century"/>
          <w:sz w:val="24"/>
          <w:szCs w:val="24"/>
        </w:rPr>
      </w:pPr>
      <w:r>
        <w:rPr>
          <w:rFonts w:ascii="Century" w:eastAsia="Century" w:hAnsi="Century" w:cs="Century"/>
          <w:sz w:val="24"/>
          <w:szCs w:val="24"/>
        </w:rPr>
        <w:t xml:space="preserve">Political gerrymandering </w:t>
      </w:r>
      <w:r w:rsidR="00AD58C9">
        <w:rPr>
          <w:rFonts w:ascii="Century" w:eastAsia="Century" w:hAnsi="Century" w:cs="Century"/>
          <w:sz w:val="24"/>
          <w:szCs w:val="24"/>
        </w:rPr>
        <w:t xml:space="preserve">is a different animal altogether. It </w:t>
      </w:r>
      <w:r>
        <w:rPr>
          <w:rFonts w:ascii="Century" w:eastAsia="Century" w:hAnsi="Century" w:cs="Century"/>
          <w:sz w:val="24"/>
          <w:szCs w:val="24"/>
        </w:rPr>
        <w:t xml:space="preserve">has been </w:t>
      </w:r>
      <w:r w:rsidRPr="0084116B">
        <w:rPr>
          <w:rFonts w:ascii="Century" w:eastAsia="Century" w:hAnsi="Century" w:cs="Century"/>
          <w:sz w:val="24"/>
          <w:szCs w:val="24"/>
        </w:rPr>
        <w:t>defined as "[t]he practice of dividing a geographical area into electoral districts, often of highly irregular shape, to give one political party an unfair advantage by diluting the opposition's voting strength," Black's Law Dictionary 802, 1346 (10th ed. 2014).</w:t>
      </w:r>
    </w:p>
    <w:p w:rsidR="0084116B" w:rsidRDefault="0084116B" w:rsidP="0084116B">
      <w:pPr>
        <w:pStyle w:val="BodyA"/>
        <w:ind w:firstLine="720"/>
        <w:rPr>
          <w:rFonts w:ascii="Century" w:eastAsia="Century" w:hAnsi="Century" w:cs="Century"/>
          <w:sz w:val="24"/>
          <w:szCs w:val="24"/>
        </w:rPr>
      </w:pPr>
    </w:p>
    <w:p w:rsidR="0084116B" w:rsidRPr="0084116B" w:rsidRDefault="0084116B" w:rsidP="0084116B">
      <w:pPr>
        <w:pStyle w:val="BodyA"/>
        <w:ind w:firstLine="720"/>
        <w:rPr>
          <w:rFonts w:ascii="Century" w:eastAsia="Century" w:hAnsi="Century" w:cs="Century"/>
          <w:sz w:val="24"/>
          <w:szCs w:val="24"/>
        </w:rPr>
      </w:pPr>
      <w:r w:rsidRPr="0084116B">
        <w:rPr>
          <w:rFonts w:ascii="Century" w:eastAsia="Century" w:hAnsi="Century" w:cs="Century"/>
          <w:sz w:val="24"/>
          <w:szCs w:val="24"/>
        </w:rPr>
        <w:t xml:space="preserve">The Supreme Court has recognized that "unlawful political gerrymandering claims may be justiciable in concept" but it has yet to identify a judicially discernable and manageable standard for claims invoking the Equal Protection Clause of the 14th Amendment for adjudicating such claims and in fact has twice indicated that, absent such a standard, political gerrymandering claims must be dismissed. See </w:t>
      </w:r>
      <w:r w:rsidRPr="0084116B">
        <w:rPr>
          <w:rFonts w:ascii="Century" w:eastAsia="Century" w:hAnsi="Century" w:cs="Century"/>
          <w:i/>
          <w:sz w:val="24"/>
          <w:szCs w:val="24"/>
        </w:rPr>
        <w:t>League of United Latin American Citizens v. Perry (LULAC)</w:t>
      </w:r>
      <w:r w:rsidRPr="0084116B">
        <w:rPr>
          <w:rFonts w:ascii="Century" w:eastAsia="Century" w:hAnsi="Century" w:cs="Century"/>
          <w:sz w:val="24"/>
          <w:szCs w:val="24"/>
        </w:rPr>
        <w:t xml:space="preserve">, 548 U.S. 399 (2006); </w:t>
      </w:r>
      <w:r w:rsidRPr="0084116B">
        <w:rPr>
          <w:rFonts w:ascii="Century" w:eastAsia="Century" w:hAnsi="Century" w:cs="Century"/>
          <w:i/>
          <w:sz w:val="24"/>
          <w:szCs w:val="24"/>
        </w:rPr>
        <w:t>Vieth v. Jubelirer</w:t>
      </w:r>
      <w:r w:rsidRPr="0084116B">
        <w:rPr>
          <w:rFonts w:ascii="Century" w:eastAsia="Century" w:hAnsi="Century" w:cs="Century"/>
          <w:sz w:val="24"/>
          <w:szCs w:val="24"/>
        </w:rPr>
        <w:t>, 541 U.S. 267 (2004).</w:t>
      </w:r>
    </w:p>
    <w:p w:rsidR="0084116B" w:rsidRDefault="0084116B" w:rsidP="0084116B">
      <w:pPr>
        <w:pStyle w:val="BodyA"/>
        <w:rPr>
          <w:rFonts w:ascii="Century" w:eastAsia="Century" w:hAnsi="Century" w:cs="Century"/>
          <w:sz w:val="24"/>
          <w:szCs w:val="24"/>
        </w:rPr>
      </w:pPr>
    </w:p>
    <w:p w:rsidR="0084116B" w:rsidRPr="0084116B" w:rsidRDefault="0084116B" w:rsidP="0084116B">
      <w:pPr>
        <w:pStyle w:val="BodyA"/>
        <w:ind w:firstLine="720"/>
        <w:rPr>
          <w:rFonts w:ascii="Century" w:eastAsia="Century" w:hAnsi="Century" w:cs="Century"/>
          <w:sz w:val="24"/>
          <w:szCs w:val="24"/>
        </w:rPr>
      </w:pPr>
      <w:r w:rsidRPr="0084116B">
        <w:rPr>
          <w:rFonts w:ascii="Century" w:eastAsia="Century" w:hAnsi="Century" w:cs="Century"/>
          <w:sz w:val="24"/>
          <w:szCs w:val="24"/>
        </w:rPr>
        <w:t xml:space="preserve">Justice Kennedy emphasized in his separate opinion in </w:t>
      </w:r>
      <w:r w:rsidRPr="0084116B">
        <w:rPr>
          <w:rFonts w:ascii="Century" w:eastAsia="Century" w:hAnsi="Century" w:cs="Century"/>
          <w:i/>
          <w:sz w:val="24"/>
          <w:szCs w:val="24"/>
        </w:rPr>
        <w:t>Vieth</w:t>
      </w:r>
      <w:r w:rsidRPr="0084116B">
        <w:rPr>
          <w:rFonts w:ascii="Century" w:eastAsia="Century" w:hAnsi="Century" w:cs="Century"/>
          <w:sz w:val="24"/>
          <w:szCs w:val="24"/>
        </w:rPr>
        <w:t xml:space="preserve"> that "First Amendment concerns arise where an apportionment has the purpose and effect of burdening a group of voters' representational rights," 541 U.S. at 314 (Kennedy, J., concurring in the judgment). </w:t>
      </w:r>
      <w:r w:rsidR="00A065F0">
        <w:rPr>
          <w:rFonts w:ascii="Century" w:eastAsia="Century" w:hAnsi="Century" w:cs="Century"/>
          <w:sz w:val="24"/>
          <w:szCs w:val="24"/>
        </w:rPr>
        <w:t>His</w:t>
      </w:r>
      <w:r w:rsidRPr="0084116B">
        <w:rPr>
          <w:rFonts w:ascii="Century" w:eastAsia="Century" w:hAnsi="Century" w:cs="Century"/>
          <w:sz w:val="24"/>
          <w:szCs w:val="24"/>
        </w:rPr>
        <w:t xml:space="preserve"> statement has now provided support in a Maryland district court for the proposition that the First Amendment can provide the framework for considering political gerrymandering claims. </w:t>
      </w:r>
    </w:p>
    <w:p w:rsidR="0084116B" w:rsidRPr="0084116B" w:rsidRDefault="0084116B" w:rsidP="0084116B">
      <w:pPr>
        <w:pStyle w:val="BodyA"/>
        <w:rPr>
          <w:rFonts w:ascii="Century" w:eastAsia="Century" w:hAnsi="Century" w:cs="Century"/>
          <w:sz w:val="24"/>
          <w:szCs w:val="24"/>
        </w:rPr>
      </w:pPr>
    </w:p>
    <w:p w:rsidR="009C7BAE" w:rsidRPr="00346219" w:rsidRDefault="009C7BAE" w:rsidP="009C7BA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entury" w:eastAsia="Calibri" w:hAnsi="Century"/>
          <w:b/>
          <w:bdr w:val="none" w:sz="0" w:space="0" w:color="auto"/>
        </w:rPr>
      </w:pPr>
      <w:r w:rsidRPr="00346219">
        <w:rPr>
          <w:rFonts w:ascii="Century" w:eastAsia="Calibri" w:hAnsi="Century"/>
          <w:b/>
          <w:bdr w:val="none" w:sz="0" w:space="0" w:color="auto"/>
        </w:rPr>
        <w:t>Shift to First Amendment Framework</w:t>
      </w:r>
    </w:p>
    <w:p w:rsidR="009C7BAE" w:rsidRDefault="009C7BAE"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Pr>
          <w:rFonts w:ascii="Century" w:eastAsia="Calibri" w:hAnsi="Century"/>
          <w:bdr w:val="none" w:sz="0" w:space="0" w:color="auto"/>
        </w:rPr>
        <w:tab/>
      </w:r>
      <w:r w:rsidR="00A065F0">
        <w:rPr>
          <w:rFonts w:ascii="Century" w:eastAsia="Calibri" w:hAnsi="Century"/>
          <w:bdr w:val="none" w:sz="0" w:space="0" w:color="auto"/>
        </w:rPr>
        <w:t>While the Supreme Court has n</w:t>
      </w:r>
      <w:r w:rsidR="005A67AB" w:rsidRPr="005A67AB">
        <w:rPr>
          <w:rFonts w:ascii="Century" w:eastAsia="Calibri" w:hAnsi="Century"/>
          <w:bdr w:val="none" w:sz="0" w:space="0" w:color="auto"/>
        </w:rPr>
        <w:t xml:space="preserve">ot been able to agree on a standard for adjudicating political gerrymandering claims brought under </w:t>
      </w:r>
      <w:r w:rsidR="00A065F0">
        <w:rPr>
          <w:rFonts w:ascii="Century" w:eastAsia="Calibri" w:hAnsi="Century"/>
          <w:bdr w:val="none" w:sz="0" w:space="0" w:color="auto"/>
        </w:rPr>
        <w:t>the Equal Protection Clause,</w:t>
      </w:r>
      <w:r w:rsidR="005A67AB" w:rsidRPr="005A67AB">
        <w:rPr>
          <w:rFonts w:ascii="Century" w:eastAsia="Calibri" w:hAnsi="Century"/>
          <w:bdr w:val="none" w:sz="0" w:space="0" w:color="auto"/>
        </w:rPr>
        <w:t xml:space="preserve"> the lower courts have begun cobbling together the separate opinions, concurrences and dissents from </w:t>
      </w:r>
      <w:r w:rsidR="005A67AB" w:rsidRPr="005A67AB">
        <w:rPr>
          <w:rFonts w:ascii="Century" w:eastAsia="Calibri" w:hAnsi="Century"/>
          <w:i/>
          <w:bdr w:val="none" w:sz="0" w:space="0" w:color="auto"/>
        </w:rPr>
        <w:t>Bandemer</w:t>
      </w:r>
      <w:r w:rsidR="005A67AB" w:rsidRPr="005A67AB">
        <w:rPr>
          <w:rFonts w:ascii="Century" w:eastAsia="Calibri" w:hAnsi="Century"/>
          <w:bdr w:val="none" w:sz="0" w:space="0" w:color="auto"/>
        </w:rPr>
        <w:t xml:space="preserve">, </w:t>
      </w:r>
      <w:r w:rsidR="005A67AB" w:rsidRPr="005A67AB">
        <w:rPr>
          <w:rFonts w:ascii="Century" w:eastAsia="Calibri" w:hAnsi="Century"/>
          <w:i/>
          <w:bdr w:val="none" w:sz="0" w:space="0" w:color="auto"/>
        </w:rPr>
        <w:t>Vieth</w:t>
      </w:r>
      <w:r w:rsidR="005A67AB" w:rsidRPr="005A67AB">
        <w:rPr>
          <w:rFonts w:ascii="Century" w:eastAsia="Calibri" w:hAnsi="Century"/>
          <w:bdr w:val="none" w:sz="0" w:space="0" w:color="auto"/>
        </w:rPr>
        <w:t xml:space="preserve"> and </w:t>
      </w:r>
      <w:r w:rsidR="005A67AB" w:rsidRPr="005A67AB">
        <w:rPr>
          <w:rFonts w:ascii="Century" w:eastAsia="Calibri" w:hAnsi="Century"/>
          <w:i/>
          <w:bdr w:val="none" w:sz="0" w:space="0" w:color="auto"/>
        </w:rPr>
        <w:t>LULAC</w:t>
      </w:r>
      <w:r w:rsidR="005A67AB" w:rsidRPr="005A67AB">
        <w:rPr>
          <w:rFonts w:ascii="Century" w:eastAsia="Calibri" w:hAnsi="Century"/>
          <w:bdr w:val="none" w:sz="0" w:space="0" w:color="auto"/>
        </w:rPr>
        <w:t xml:space="preserve">  to provide a framework for an Article III court to adjudicate a claim that the State's abuse of political considerations in districting has violated any othe</w:t>
      </w:r>
      <w:r w:rsidR="00A065F0">
        <w:rPr>
          <w:rFonts w:ascii="Century" w:eastAsia="Calibri" w:hAnsi="Century"/>
          <w:bdr w:val="none" w:sz="0" w:space="0" w:color="auto"/>
        </w:rPr>
        <w:t>r constitutional provision.</w:t>
      </w:r>
    </w:p>
    <w:p w:rsidR="009C7BAE" w:rsidRDefault="009C7BAE"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Pr>
          <w:rFonts w:ascii="Century" w:eastAsia="Calibri" w:hAnsi="Century"/>
          <w:bdr w:val="none" w:sz="0" w:space="0" w:color="auto"/>
        </w:rPr>
        <w:tab/>
      </w:r>
      <w:r w:rsidR="005A67AB" w:rsidRPr="005A67AB">
        <w:rPr>
          <w:rFonts w:ascii="Century" w:eastAsia="Calibri" w:hAnsi="Century"/>
          <w:bdr w:val="none" w:sz="0" w:space="0" w:color="auto"/>
        </w:rPr>
        <w:t xml:space="preserve">In </w:t>
      </w:r>
      <w:r w:rsidR="005A67AB" w:rsidRPr="009C7BAE">
        <w:rPr>
          <w:rFonts w:ascii="Century" w:eastAsia="Calibri" w:hAnsi="Century"/>
          <w:i/>
          <w:bdr w:val="none" w:sz="0" w:space="0" w:color="auto"/>
        </w:rPr>
        <w:t>Shapiro v. McManus</w:t>
      </w:r>
      <w:r w:rsidR="00A065F0">
        <w:rPr>
          <w:rFonts w:ascii="Century" w:eastAsia="Calibri" w:hAnsi="Century"/>
          <w:bdr w:val="none" w:sz="0" w:space="0" w:color="auto"/>
        </w:rPr>
        <w:t xml:space="preserve">, </w:t>
      </w:r>
      <w:r w:rsidR="005A67AB" w:rsidRPr="005A67AB">
        <w:rPr>
          <w:rFonts w:ascii="Century" w:eastAsia="Calibri" w:hAnsi="Century"/>
          <w:bdr w:val="none" w:sz="0" w:space="0" w:color="auto"/>
        </w:rPr>
        <w:t xml:space="preserve">Maryland citizens commenced a political gerrymandering action against the Chair and the Administrator of the State Board of Elections, alleging that Maryland’s 2011 Redistricting Plan violated their rights under the First Amendment and Article I, § 2, of the U.S. Constitution. </w:t>
      </w:r>
    </w:p>
    <w:p w:rsidR="005A67AB" w:rsidRPr="005A67AB" w:rsidRDefault="009C7BAE"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Pr>
          <w:rFonts w:ascii="Century" w:eastAsia="Calibri" w:hAnsi="Century"/>
          <w:bdr w:val="none" w:sz="0" w:space="0" w:color="auto"/>
        </w:rPr>
        <w:tab/>
      </w:r>
      <w:r w:rsidR="005A67AB" w:rsidRPr="005A67AB">
        <w:rPr>
          <w:rFonts w:ascii="Century" w:eastAsia="Calibri" w:hAnsi="Century"/>
          <w:bdr w:val="none" w:sz="0" w:space="0" w:color="auto"/>
        </w:rPr>
        <w:t xml:space="preserve">A single district court judge granted the State's motion to dismiss, </w:t>
      </w:r>
      <w:r w:rsidR="005A67AB" w:rsidRPr="005A67AB">
        <w:rPr>
          <w:rFonts w:ascii="Century" w:eastAsia="Calibri" w:hAnsi="Century"/>
          <w:i/>
          <w:bdr w:val="none" w:sz="0" w:space="0" w:color="auto"/>
        </w:rPr>
        <w:t>Benisek v. Mack</w:t>
      </w:r>
      <w:r w:rsidR="005A67AB" w:rsidRPr="005A67AB">
        <w:rPr>
          <w:rFonts w:ascii="Century" w:eastAsia="Calibri" w:hAnsi="Century"/>
          <w:bdr w:val="none" w:sz="0" w:space="0" w:color="auto"/>
        </w:rPr>
        <w:t xml:space="preserve">, 11 F. Supp. 3d. 516 (D. Md. 2014), and the Fourth Circuit Court of Appeals summarily affirmed, </w:t>
      </w:r>
      <w:r w:rsidR="005A67AB" w:rsidRPr="005A67AB">
        <w:rPr>
          <w:rFonts w:ascii="Century" w:eastAsia="Calibri" w:hAnsi="Century"/>
          <w:i/>
          <w:bdr w:val="none" w:sz="0" w:space="0" w:color="auto"/>
        </w:rPr>
        <w:t>Benisek</w:t>
      </w:r>
      <w:r w:rsidR="005A67AB" w:rsidRPr="005A67AB">
        <w:rPr>
          <w:rFonts w:ascii="Century" w:eastAsia="Calibri" w:hAnsi="Century"/>
          <w:bdr w:val="none" w:sz="0" w:space="0" w:color="auto"/>
        </w:rPr>
        <w:t xml:space="preserve">, 584 F. App'x. 140 (4th Cir. 2014). The Supreme Court reversed, concluding that the plaintiffs' constitutional challenge was not "wholly insubstantial" and it thus had to be decided by a district court composed of three judges, as required by 28 U.S.C. § 2284. See </w:t>
      </w:r>
      <w:r w:rsidR="005A67AB" w:rsidRPr="005A67AB">
        <w:rPr>
          <w:rFonts w:ascii="Century" w:eastAsia="Calibri" w:hAnsi="Century"/>
          <w:i/>
          <w:bdr w:val="none" w:sz="0" w:space="0" w:color="auto"/>
        </w:rPr>
        <w:t>Shapiro</w:t>
      </w:r>
      <w:r w:rsidR="005A67AB" w:rsidRPr="005A67AB">
        <w:rPr>
          <w:rFonts w:ascii="Century" w:eastAsia="Calibri" w:hAnsi="Century"/>
          <w:bdr w:val="none" w:sz="0" w:space="0" w:color="auto"/>
        </w:rPr>
        <w:t>, 136 S. Ct. at 456. In doing so, the Supreme Court recognized that the theory underlying the plaintiffs' First Amendment claim had originally been suggested by Justice Kennedy and was "uncontradicted by the majority in any of [the Court's] cases." Id.</w:t>
      </w:r>
    </w:p>
    <w:p w:rsidR="005A67AB" w:rsidRPr="005A67AB" w:rsidRDefault="007F3038" w:rsidP="003D3E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Century" w:eastAsia="Calibri" w:hAnsi="Century"/>
          <w:bdr w:val="none" w:sz="0" w:space="0" w:color="auto"/>
        </w:rPr>
      </w:pPr>
      <w:r>
        <w:rPr>
          <w:rFonts w:ascii="Century" w:eastAsia="Calibri" w:hAnsi="Century"/>
          <w:bdr w:val="none" w:sz="0" w:space="0" w:color="auto"/>
        </w:rPr>
        <w:t xml:space="preserve">The </w:t>
      </w:r>
      <w:r w:rsidR="009C7BAE">
        <w:rPr>
          <w:rFonts w:ascii="Century" w:eastAsia="Calibri" w:hAnsi="Century"/>
          <w:bdr w:val="none" w:sz="0" w:space="0" w:color="auto"/>
        </w:rPr>
        <w:t xml:space="preserve">three-judge court </w:t>
      </w:r>
      <w:r>
        <w:rPr>
          <w:rFonts w:ascii="Century" w:eastAsia="Calibri" w:hAnsi="Century"/>
          <w:bdr w:val="none" w:sz="0" w:space="0" w:color="auto"/>
        </w:rPr>
        <w:t xml:space="preserve">on remand </w:t>
      </w:r>
      <w:r w:rsidR="00346219">
        <w:rPr>
          <w:rFonts w:ascii="Century" w:eastAsia="Calibri" w:hAnsi="Century"/>
          <w:bdr w:val="none" w:sz="0" w:space="0" w:color="auto"/>
        </w:rPr>
        <w:t xml:space="preserve">began its analysis </w:t>
      </w:r>
      <w:r w:rsidR="009C7BAE">
        <w:rPr>
          <w:rFonts w:ascii="Century" w:eastAsia="Calibri" w:hAnsi="Century"/>
          <w:bdr w:val="none" w:sz="0" w:space="0" w:color="auto"/>
        </w:rPr>
        <w:t>i</w:t>
      </w:r>
      <w:r w:rsidR="005A67AB" w:rsidRPr="005A67AB">
        <w:rPr>
          <w:rFonts w:ascii="Century" w:eastAsia="Calibri" w:hAnsi="Century"/>
          <w:bdr w:val="none" w:sz="0" w:space="0" w:color="auto"/>
        </w:rPr>
        <w:t xml:space="preserve">n </w:t>
      </w:r>
      <w:r w:rsidR="005A67AB" w:rsidRPr="005A67AB">
        <w:rPr>
          <w:rFonts w:ascii="Century" w:eastAsia="Calibri" w:hAnsi="Century"/>
          <w:i/>
          <w:bdr w:val="none" w:sz="0" w:space="0" w:color="auto"/>
        </w:rPr>
        <w:t>Shapiro v. McManus</w:t>
      </w:r>
      <w:r>
        <w:rPr>
          <w:rFonts w:ascii="Century" w:eastAsia="Calibri" w:hAnsi="Century"/>
          <w:bdr w:val="none" w:sz="0" w:space="0" w:color="auto"/>
        </w:rPr>
        <w:t xml:space="preserve"> (D. Md. Aug.</w:t>
      </w:r>
      <w:r w:rsidR="005A67AB" w:rsidRPr="005A67AB">
        <w:rPr>
          <w:rFonts w:ascii="Century" w:eastAsia="Calibri" w:hAnsi="Century"/>
          <w:bdr w:val="none" w:sz="0" w:space="0" w:color="auto"/>
        </w:rPr>
        <w:t xml:space="preserve"> 24, 2016) </w:t>
      </w:r>
      <w:hyperlink r:id="rId11" w:history="1">
        <w:r w:rsidR="005A67AB" w:rsidRPr="005A67AB">
          <w:rPr>
            <w:rFonts w:ascii="Century" w:eastAsia="Calibri" w:hAnsi="Century"/>
            <w:color w:val="0563C1"/>
            <w:u w:val="single"/>
            <w:bdr w:val="none" w:sz="0" w:space="0" w:color="auto"/>
          </w:rPr>
          <w:t>https://scholar.google.com/scholar_case?case=5152767999033440537&amp;q=political+gerrymandering+partisanship&amp;hl=en&amp;as_sdt=3,25&amp;as_ylo=2016</w:t>
        </w:r>
      </w:hyperlink>
      <w:r w:rsidR="005A67AB" w:rsidRPr="005A67AB">
        <w:rPr>
          <w:rFonts w:ascii="Century" w:eastAsia="Calibri" w:hAnsi="Century"/>
          <w:bdr w:val="none" w:sz="0" w:space="0" w:color="auto"/>
        </w:rPr>
        <w:t xml:space="preserve">, </w:t>
      </w:r>
      <w:r w:rsidR="009C7BAE">
        <w:rPr>
          <w:rFonts w:ascii="Century" w:eastAsia="Calibri" w:hAnsi="Century"/>
          <w:bdr w:val="none" w:sz="0" w:space="0" w:color="auto"/>
        </w:rPr>
        <w:t xml:space="preserve">by noting that </w:t>
      </w:r>
      <w:r w:rsidR="005A67AB" w:rsidRPr="005A67AB">
        <w:rPr>
          <w:rFonts w:ascii="Century" w:eastAsia="Calibri" w:hAnsi="Century"/>
          <w:bdr w:val="none" w:sz="0" w:space="0" w:color="auto"/>
        </w:rPr>
        <w:t>the Supreme Court</w:t>
      </w:r>
      <w:r w:rsidR="009C7BAE">
        <w:rPr>
          <w:rFonts w:ascii="Century" w:eastAsia="Calibri" w:hAnsi="Century"/>
          <w:bdr w:val="none" w:sz="0" w:space="0" w:color="auto"/>
        </w:rPr>
        <w:t xml:space="preserve"> had now recognized </w:t>
      </w:r>
      <w:r w:rsidR="005A67AB" w:rsidRPr="005A67AB">
        <w:rPr>
          <w:rFonts w:ascii="Century" w:eastAsia="Calibri" w:hAnsi="Century"/>
          <w:bdr w:val="none" w:sz="0" w:space="0" w:color="auto"/>
        </w:rPr>
        <w:t xml:space="preserve">that the plaintiffs' legal theory premised on the First Amendment rather than the Equal Protection Clause was "uncontradicted by the majority in any of [its] cases," </w:t>
      </w:r>
      <w:r w:rsidR="005A67AB" w:rsidRPr="005A67AB">
        <w:rPr>
          <w:rFonts w:ascii="Century" w:eastAsia="Calibri" w:hAnsi="Century"/>
          <w:i/>
          <w:bdr w:val="none" w:sz="0" w:space="0" w:color="auto"/>
        </w:rPr>
        <w:t>Shapiro</w:t>
      </w:r>
      <w:r w:rsidR="005A67AB" w:rsidRPr="005A67AB">
        <w:rPr>
          <w:rFonts w:ascii="Century" w:eastAsia="Calibri" w:hAnsi="Century"/>
          <w:bdr w:val="none" w:sz="0" w:space="0" w:color="auto"/>
        </w:rPr>
        <w:t>, 136 S. Ct. at 456</w:t>
      </w:r>
      <w:r w:rsidR="009C7BAE">
        <w:rPr>
          <w:rFonts w:ascii="Century" w:eastAsia="Calibri" w:hAnsi="Century"/>
          <w:bdr w:val="none" w:sz="0" w:space="0" w:color="auto"/>
        </w:rPr>
        <w:t xml:space="preserve">. It concluded that </w:t>
      </w:r>
      <w:r w:rsidR="005A67AB" w:rsidRPr="005A67AB">
        <w:rPr>
          <w:rFonts w:ascii="Century" w:eastAsia="Calibri" w:hAnsi="Century"/>
          <w:bdr w:val="none" w:sz="0" w:space="0" w:color="auto"/>
        </w:rPr>
        <w:t xml:space="preserve">a political gerrymandering claim based on the First Amendment </w:t>
      </w:r>
      <w:r w:rsidR="009C7BAE">
        <w:rPr>
          <w:rFonts w:ascii="Century" w:eastAsia="Calibri" w:hAnsi="Century"/>
          <w:bdr w:val="none" w:sz="0" w:space="0" w:color="auto"/>
        </w:rPr>
        <w:t xml:space="preserve">could survive </w:t>
      </w:r>
      <w:r w:rsidR="005A67AB" w:rsidRPr="005A67AB">
        <w:rPr>
          <w:rFonts w:ascii="Century" w:eastAsia="Calibri" w:hAnsi="Century"/>
          <w:bdr w:val="none" w:sz="0" w:space="0" w:color="auto"/>
        </w:rPr>
        <w:t>a Rule 12(b)(6) motion to dismiss</w:t>
      </w:r>
      <w:r w:rsidR="009C7BAE">
        <w:rPr>
          <w:rFonts w:ascii="Century" w:eastAsia="Calibri" w:hAnsi="Century"/>
          <w:bdr w:val="none" w:sz="0" w:space="0" w:color="auto"/>
        </w:rPr>
        <w:t>, and so held</w:t>
      </w:r>
      <w:r w:rsidR="005A67AB" w:rsidRPr="005A67AB">
        <w:rPr>
          <w:rFonts w:ascii="Century" w:eastAsia="Calibri" w:hAnsi="Century"/>
          <w:bdr w:val="none" w:sz="0" w:space="0" w:color="auto"/>
        </w:rPr>
        <w:t xml:space="preserve">. </w:t>
      </w:r>
    </w:p>
    <w:p w:rsidR="005A67AB" w:rsidRPr="005A67AB" w:rsidRDefault="009C7BAE"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Pr>
          <w:rFonts w:ascii="Century" w:eastAsia="Calibri" w:hAnsi="Century"/>
          <w:bdr w:val="none" w:sz="0" w:space="0" w:color="auto"/>
        </w:rPr>
        <w:tab/>
      </w:r>
      <w:r w:rsidR="007F3038">
        <w:rPr>
          <w:rFonts w:ascii="Century" w:eastAsia="Calibri" w:hAnsi="Century"/>
          <w:bdr w:val="none" w:sz="0" w:space="0" w:color="auto"/>
        </w:rPr>
        <w:t>The</w:t>
      </w:r>
      <w:r w:rsidR="006C0F15">
        <w:rPr>
          <w:rFonts w:ascii="Century" w:eastAsia="Calibri" w:hAnsi="Century"/>
          <w:bdr w:val="none" w:sz="0" w:space="0" w:color="auto"/>
        </w:rPr>
        <w:t xml:space="preserve"> </w:t>
      </w:r>
      <w:r w:rsidR="006C0F15" w:rsidRPr="00A065F0">
        <w:rPr>
          <w:rFonts w:ascii="Century" w:eastAsia="Calibri" w:hAnsi="Century"/>
          <w:i/>
          <w:bdr w:val="none" w:sz="0" w:space="0" w:color="auto"/>
        </w:rPr>
        <w:t xml:space="preserve">Shapiro </w:t>
      </w:r>
      <w:r w:rsidR="007F3038">
        <w:rPr>
          <w:rFonts w:ascii="Century" w:eastAsia="Calibri" w:hAnsi="Century"/>
          <w:bdr w:val="none" w:sz="0" w:space="0" w:color="auto"/>
        </w:rPr>
        <w:t>court</w:t>
      </w:r>
      <w:r w:rsidR="006C0F15">
        <w:rPr>
          <w:rFonts w:ascii="Century" w:eastAsia="Calibri" w:hAnsi="Century"/>
          <w:bdr w:val="none" w:sz="0" w:space="0" w:color="auto"/>
        </w:rPr>
        <w:t xml:space="preserve"> </w:t>
      </w:r>
      <w:r w:rsidR="005A67AB" w:rsidRPr="005A67AB">
        <w:rPr>
          <w:rFonts w:ascii="Century" w:eastAsia="Calibri" w:hAnsi="Century"/>
          <w:bdr w:val="none" w:sz="0" w:space="0" w:color="auto"/>
        </w:rPr>
        <w:t xml:space="preserve">also noted that a basic principle in the political patronage context also applied in the redistricting context, namely, that even though the government may deny a person a valuable governmental benefit for any number of reasons, </w:t>
      </w:r>
    </w:p>
    <w:p w:rsidR="005A67AB" w:rsidRPr="005A67AB" w:rsidRDefault="005A67AB"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sidRPr="005A67AB">
        <w:rPr>
          <w:rFonts w:ascii="Century" w:eastAsia="Calibri" w:hAnsi="Century"/>
          <w:bdr w:val="none" w:sz="0" w:space="0" w:color="auto"/>
        </w:rPr>
        <w:tab/>
        <w:t xml:space="preserve">[i]t may not deny a benefit to a person on a basis that infringes his </w:t>
      </w:r>
      <w:r w:rsidR="006C0F15">
        <w:rPr>
          <w:rFonts w:ascii="Century" w:eastAsia="Calibri" w:hAnsi="Century"/>
          <w:bdr w:val="none" w:sz="0" w:space="0" w:color="auto"/>
        </w:rPr>
        <w:tab/>
      </w:r>
      <w:r w:rsidRPr="005A67AB">
        <w:rPr>
          <w:rFonts w:ascii="Century" w:eastAsia="Calibri" w:hAnsi="Century"/>
          <w:bdr w:val="none" w:sz="0" w:space="0" w:color="auto"/>
        </w:rPr>
        <w:t xml:space="preserve">constitutionally protected interests — especially, his interest in freedom of </w:t>
      </w:r>
      <w:r w:rsidR="006C0F15">
        <w:rPr>
          <w:rFonts w:ascii="Century" w:eastAsia="Calibri" w:hAnsi="Century"/>
          <w:bdr w:val="none" w:sz="0" w:space="0" w:color="auto"/>
        </w:rPr>
        <w:tab/>
      </w:r>
      <w:r w:rsidRPr="005A67AB">
        <w:rPr>
          <w:rFonts w:ascii="Century" w:eastAsia="Calibri" w:hAnsi="Century"/>
          <w:bdr w:val="none" w:sz="0" w:space="0" w:color="auto"/>
        </w:rPr>
        <w:t xml:space="preserve">speech. For if the government could deny a benefit to a person because of </w:t>
      </w:r>
      <w:r w:rsidR="006C0F15">
        <w:rPr>
          <w:rFonts w:ascii="Century" w:eastAsia="Calibri" w:hAnsi="Century"/>
          <w:bdr w:val="none" w:sz="0" w:space="0" w:color="auto"/>
        </w:rPr>
        <w:tab/>
      </w:r>
      <w:r w:rsidRPr="005A67AB">
        <w:rPr>
          <w:rFonts w:ascii="Century" w:eastAsia="Calibri" w:hAnsi="Century"/>
          <w:bdr w:val="none" w:sz="0" w:space="0" w:color="auto"/>
        </w:rPr>
        <w:t xml:space="preserve">his constitutionally protected speech or associations, his exercise of those </w:t>
      </w:r>
      <w:r w:rsidR="006C0F15">
        <w:rPr>
          <w:rFonts w:ascii="Century" w:eastAsia="Calibri" w:hAnsi="Century"/>
          <w:bdr w:val="none" w:sz="0" w:space="0" w:color="auto"/>
        </w:rPr>
        <w:tab/>
      </w:r>
      <w:r w:rsidRPr="005A67AB">
        <w:rPr>
          <w:rFonts w:ascii="Century" w:eastAsia="Calibri" w:hAnsi="Century"/>
          <w:bdr w:val="none" w:sz="0" w:space="0" w:color="auto"/>
        </w:rPr>
        <w:t xml:space="preserve">freedoms would in effect be penalized and inhibited.  </w:t>
      </w:r>
    </w:p>
    <w:p w:rsidR="005A67AB" w:rsidRPr="005A67AB" w:rsidRDefault="006C0F15" w:rsidP="005A67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entury" w:eastAsia="Calibri" w:hAnsi="Century"/>
          <w:bdr w:val="none" w:sz="0" w:space="0" w:color="auto"/>
        </w:rPr>
      </w:pPr>
      <w:r>
        <w:rPr>
          <w:rFonts w:ascii="Century" w:eastAsia="Calibri" w:hAnsi="Century"/>
          <w:bdr w:val="none" w:sz="0" w:space="0" w:color="auto"/>
        </w:rPr>
        <w:tab/>
      </w:r>
      <w:r w:rsidR="005A67AB" w:rsidRPr="005A67AB">
        <w:rPr>
          <w:rFonts w:ascii="Century" w:eastAsia="Calibri" w:hAnsi="Century"/>
          <w:bdr w:val="none" w:sz="0" w:space="0" w:color="auto"/>
        </w:rPr>
        <w:t xml:space="preserve">Assessed against this First Amendment framework, Maryland voters and registered Republicans </w:t>
      </w:r>
      <w:r w:rsidR="007F3038">
        <w:rPr>
          <w:rFonts w:ascii="Century" w:eastAsia="Calibri" w:hAnsi="Century"/>
          <w:bdr w:val="none" w:sz="0" w:space="0" w:color="auto"/>
        </w:rPr>
        <w:t xml:space="preserve">were held to state a justiciable claim upon which relief could be granted </w:t>
      </w:r>
      <w:r w:rsidR="005A67AB" w:rsidRPr="005A67AB">
        <w:rPr>
          <w:rFonts w:ascii="Century" w:eastAsia="Calibri" w:hAnsi="Century"/>
          <w:bdr w:val="none" w:sz="0" w:space="0" w:color="auto"/>
        </w:rPr>
        <w:t xml:space="preserve">in </w:t>
      </w:r>
      <w:r w:rsidR="005A67AB" w:rsidRPr="005A67AB">
        <w:rPr>
          <w:rFonts w:ascii="Century" w:eastAsia="Calibri" w:hAnsi="Century"/>
          <w:i/>
          <w:bdr w:val="none" w:sz="0" w:space="0" w:color="auto"/>
        </w:rPr>
        <w:t>Shapiro v. McManus</w:t>
      </w:r>
      <w:r w:rsidR="005A67AB" w:rsidRPr="005A67AB">
        <w:rPr>
          <w:rFonts w:ascii="Century" w:eastAsia="Calibri" w:hAnsi="Century"/>
          <w:bdr w:val="none" w:sz="0" w:space="0" w:color="auto"/>
        </w:rPr>
        <w:t xml:space="preserve"> (D. Md. Aug</w:t>
      </w:r>
      <w:r>
        <w:rPr>
          <w:rFonts w:ascii="Century" w:eastAsia="Calibri" w:hAnsi="Century"/>
          <w:bdr w:val="none" w:sz="0" w:space="0" w:color="auto"/>
        </w:rPr>
        <w:t xml:space="preserve">. </w:t>
      </w:r>
      <w:r w:rsidR="005A67AB" w:rsidRPr="005A67AB">
        <w:rPr>
          <w:rFonts w:ascii="Century" w:eastAsia="Calibri" w:hAnsi="Century"/>
          <w:bdr w:val="none" w:sz="0" w:space="0" w:color="auto"/>
        </w:rPr>
        <w:t xml:space="preserve">24, 2016) </w:t>
      </w:r>
      <w:hyperlink r:id="rId12" w:history="1">
        <w:r w:rsidRPr="00401927">
          <w:rPr>
            <w:rStyle w:val="Hyperlink"/>
            <w:rFonts w:ascii="Century" w:eastAsia="Calibri" w:hAnsi="Century"/>
            <w:bdr w:val="none" w:sz="0" w:space="0" w:color="auto"/>
          </w:rPr>
          <w:t>https://scholar.google.com/scholar_case?case=5152767999033440537&amp;q=political+gerrymandering+partisanship&amp;hl=en&amp;as_sdt=3,25&amp;as_ylo=</w:t>
        </w:r>
        <w:r w:rsidRPr="007F3038">
          <w:rPr>
            <w:rStyle w:val="Hyperlink"/>
            <w:rFonts w:ascii="Century" w:eastAsia="Calibri" w:hAnsi="Century"/>
            <w:u w:val="none"/>
            <w:bdr w:val="none" w:sz="0" w:space="0" w:color="auto"/>
          </w:rPr>
          <w:t>2016</w:t>
        </w:r>
      </w:hyperlink>
      <w:r w:rsidR="007F3038">
        <w:rPr>
          <w:rFonts w:ascii="Century" w:eastAsia="Calibri" w:hAnsi="Century"/>
          <w:bdr w:val="none" w:sz="0" w:space="0" w:color="auto"/>
        </w:rPr>
        <w:t>, and their challenge to</w:t>
      </w:r>
      <w:r w:rsidR="005A67AB" w:rsidRPr="005A67AB">
        <w:rPr>
          <w:rFonts w:ascii="Century" w:eastAsia="Calibri" w:hAnsi="Century"/>
          <w:bdr w:val="none" w:sz="0" w:space="0" w:color="auto"/>
        </w:rPr>
        <w:t xml:space="preserve"> the constitutionality of Maryland's 2011 congressional redistricting law under the First Amendment</w:t>
      </w:r>
      <w:r w:rsidR="007F3038">
        <w:rPr>
          <w:rFonts w:ascii="Century" w:eastAsia="Calibri" w:hAnsi="Century"/>
          <w:bdr w:val="none" w:sz="0" w:space="0" w:color="auto"/>
        </w:rPr>
        <w:t xml:space="preserve"> was allowed to proceed,</w:t>
      </w:r>
      <w:r w:rsidR="005A67AB" w:rsidRPr="005A67AB">
        <w:rPr>
          <w:rFonts w:ascii="Century" w:eastAsia="Calibri" w:hAnsi="Century"/>
          <w:bdr w:val="none" w:sz="0" w:space="0" w:color="auto"/>
        </w:rPr>
        <w:t xml:space="preserve"> where they alleged (1) that the State drew the lines of Maryland's Sixth Congressional District with the specific intent to punish and retaliate against them and similarly situated voters by reason of how they voted and their political party registration; (2) that the State, in furtherance of this purpose, drew the Sixth District's lines in such a manner as to dilute their vote and burden their political expression; and (3) that the State succeeded in its efforts, inflicting a tangible and concrete adverse effect.</w:t>
      </w:r>
    </w:p>
    <w:p w:rsidR="006C0F15" w:rsidRDefault="001A1801" w:rsidP="005305ED">
      <w:pPr>
        <w:pStyle w:val="BodyA"/>
        <w:rPr>
          <w:rFonts w:ascii="Century" w:eastAsia="Century" w:hAnsi="Century" w:cs="Century"/>
          <w:sz w:val="24"/>
          <w:szCs w:val="24"/>
        </w:rPr>
      </w:pPr>
      <w:r>
        <w:rPr>
          <w:rFonts w:ascii="Century" w:eastAsia="Century" w:hAnsi="Century" w:cs="Century"/>
          <w:sz w:val="24"/>
          <w:szCs w:val="24"/>
        </w:rPr>
        <w:tab/>
      </w:r>
      <w:r w:rsidR="006C0F15">
        <w:rPr>
          <w:rFonts w:ascii="Century" w:eastAsia="Century" w:hAnsi="Century" w:cs="Century"/>
          <w:sz w:val="24"/>
          <w:szCs w:val="24"/>
        </w:rPr>
        <w:t>This latest development of a First Amendment basis for asserting political gerrymandering claims gives some weight to the argument that i</w:t>
      </w:r>
      <w:r>
        <w:rPr>
          <w:rFonts w:ascii="Century" w:eastAsia="Century" w:hAnsi="Century" w:cs="Century"/>
          <w:sz w:val="24"/>
          <w:szCs w:val="24"/>
        </w:rPr>
        <w:t xml:space="preserve">t may still be </w:t>
      </w:r>
      <w:r w:rsidR="005305ED" w:rsidRPr="005305ED">
        <w:rPr>
          <w:rFonts w:ascii="Century" w:eastAsia="Century" w:hAnsi="Century" w:cs="Century"/>
          <w:sz w:val="24"/>
          <w:szCs w:val="24"/>
        </w:rPr>
        <w:t xml:space="preserve">possible to challenge redistricting plans when partisan considerations go "too far." See </w:t>
      </w:r>
      <w:r w:rsidR="005305ED" w:rsidRPr="001A1801">
        <w:rPr>
          <w:rFonts w:ascii="Century" w:eastAsia="Century" w:hAnsi="Century" w:cs="Century"/>
          <w:i/>
          <w:sz w:val="24"/>
          <w:szCs w:val="24"/>
        </w:rPr>
        <w:t>Cox v. Larios</w:t>
      </w:r>
      <w:r w:rsidR="005305ED" w:rsidRPr="005305ED">
        <w:rPr>
          <w:rFonts w:ascii="Century" w:eastAsia="Century" w:hAnsi="Century" w:cs="Century"/>
          <w:sz w:val="24"/>
          <w:szCs w:val="24"/>
        </w:rPr>
        <w:t xml:space="preserve">, 542 U.S. 947, 952 (2004) (Scalia, J., dissenting) ("In the recent decision in </w:t>
      </w:r>
      <w:r w:rsidR="005305ED" w:rsidRPr="001A1801">
        <w:rPr>
          <w:rFonts w:ascii="Century" w:eastAsia="Century" w:hAnsi="Century" w:cs="Century"/>
          <w:i/>
          <w:sz w:val="24"/>
          <w:szCs w:val="24"/>
        </w:rPr>
        <w:t>Vieth v. Jubelirer</w:t>
      </w:r>
      <w:r w:rsidR="005305ED" w:rsidRPr="005305ED">
        <w:rPr>
          <w:rFonts w:ascii="Century" w:eastAsia="Century" w:hAnsi="Century" w:cs="Century"/>
          <w:sz w:val="24"/>
          <w:szCs w:val="24"/>
        </w:rPr>
        <w:t>, 541 U.S. 267 (2004), all but one of the Justices agreed that [politics] is a traditional criterion, and a constitutional one, so long as it does not go too far.")</w:t>
      </w:r>
      <w:r>
        <w:rPr>
          <w:rFonts w:ascii="Century" w:eastAsia="Century" w:hAnsi="Century" w:cs="Century"/>
          <w:sz w:val="24"/>
          <w:szCs w:val="24"/>
        </w:rPr>
        <w:t>, but who can say w</w:t>
      </w:r>
      <w:r w:rsidR="005305ED" w:rsidRPr="005305ED">
        <w:rPr>
          <w:rFonts w:ascii="Century" w:eastAsia="Century" w:hAnsi="Century" w:cs="Century"/>
          <w:sz w:val="24"/>
          <w:szCs w:val="24"/>
        </w:rPr>
        <w:t>hat "too far" means</w:t>
      </w:r>
      <w:r w:rsidR="006C0F15">
        <w:rPr>
          <w:rFonts w:ascii="Century" w:eastAsia="Century" w:hAnsi="Century" w:cs="Century"/>
          <w:sz w:val="24"/>
          <w:szCs w:val="24"/>
        </w:rPr>
        <w:t>, and can the First Amendment provide a clear, manageable framework</w:t>
      </w:r>
      <w:r>
        <w:rPr>
          <w:rFonts w:ascii="Century" w:eastAsia="Century" w:hAnsi="Century" w:cs="Century"/>
          <w:sz w:val="24"/>
          <w:szCs w:val="24"/>
        </w:rPr>
        <w:t xml:space="preserve">? </w:t>
      </w:r>
    </w:p>
    <w:p w:rsidR="00537595" w:rsidRDefault="00537595" w:rsidP="005305ED">
      <w:pPr>
        <w:pStyle w:val="BodyA"/>
        <w:rPr>
          <w:rFonts w:ascii="Century" w:eastAsia="Century" w:hAnsi="Century" w:cs="Century"/>
          <w:sz w:val="24"/>
          <w:szCs w:val="24"/>
        </w:rPr>
      </w:pPr>
    </w:p>
    <w:p w:rsidR="007F3038" w:rsidRDefault="001A1801" w:rsidP="005305ED">
      <w:pPr>
        <w:pStyle w:val="BodyA"/>
        <w:rPr>
          <w:rFonts w:ascii="Century" w:eastAsia="Century" w:hAnsi="Century" w:cs="Century"/>
          <w:sz w:val="24"/>
          <w:szCs w:val="24"/>
        </w:rPr>
      </w:pPr>
      <w:r>
        <w:rPr>
          <w:rFonts w:ascii="Century" w:eastAsia="Century" w:hAnsi="Century" w:cs="Century"/>
          <w:sz w:val="24"/>
          <w:szCs w:val="24"/>
        </w:rPr>
        <w:t xml:space="preserve">A ninth member </w:t>
      </w:r>
      <w:r w:rsidR="004336EF">
        <w:rPr>
          <w:rFonts w:ascii="Century" w:eastAsia="Century" w:hAnsi="Century" w:cs="Century"/>
          <w:sz w:val="24"/>
          <w:szCs w:val="24"/>
        </w:rPr>
        <w:t xml:space="preserve">joining ranks of </w:t>
      </w:r>
      <w:r>
        <w:rPr>
          <w:rFonts w:ascii="Century" w:eastAsia="Century" w:hAnsi="Century" w:cs="Century"/>
          <w:sz w:val="24"/>
          <w:szCs w:val="24"/>
        </w:rPr>
        <w:t xml:space="preserve">the current 4-4 </w:t>
      </w:r>
      <w:r w:rsidR="004336EF">
        <w:rPr>
          <w:rFonts w:ascii="Century" w:eastAsia="Century" w:hAnsi="Century" w:cs="Century"/>
          <w:sz w:val="24"/>
          <w:szCs w:val="24"/>
        </w:rPr>
        <w:t xml:space="preserve">Supreme </w:t>
      </w:r>
      <w:r>
        <w:rPr>
          <w:rFonts w:ascii="Century" w:eastAsia="Century" w:hAnsi="Century" w:cs="Century"/>
          <w:sz w:val="24"/>
          <w:szCs w:val="24"/>
        </w:rPr>
        <w:t>Court may be the answer</w:t>
      </w:r>
      <w:r w:rsidR="00537595">
        <w:rPr>
          <w:rFonts w:ascii="Century" w:eastAsia="Century" w:hAnsi="Century" w:cs="Century"/>
          <w:sz w:val="24"/>
          <w:szCs w:val="24"/>
        </w:rPr>
        <w:t xml:space="preserve"> to whether the First Amendment framework will be recognized as a workable basis for adjudicating political gerrymandering claims</w:t>
      </w:r>
      <w:r>
        <w:rPr>
          <w:rFonts w:ascii="Century" w:eastAsia="Century" w:hAnsi="Century" w:cs="Century"/>
          <w:sz w:val="24"/>
          <w:szCs w:val="24"/>
        </w:rPr>
        <w:t xml:space="preserve">. </w:t>
      </w:r>
    </w:p>
    <w:p w:rsidR="00346219" w:rsidRDefault="00346219" w:rsidP="005305ED">
      <w:pPr>
        <w:pStyle w:val="BodyA"/>
        <w:rPr>
          <w:rFonts w:ascii="Century" w:eastAsia="Century" w:hAnsi="Century" w:cs="Century"/>
          <w:sz w:val="24"/>
          <w:szCs w:val="24"/>
        </w:rPr>
      </w:pPr>
    </w:p>
    <w:p w:rsidR="00346219" w:rsidRPr="00BE0265" w:rsidRDefault="00346219" w:rsidP="005305ED">
      <w:pPr>
        <w:pStyle w:val="BodyA"/>
        <w:rPr>
          <w:rFonts w:ascii="Century" w:eastAsia="Century" w:hAnsi="Century" w:cs="Century"/>
          <w:sz w:val="24"/>
          <w:szCs w:val="24"/>
        </w:rPr>
      </w:pPr>
    </w:p>
    <w:p w:rsidR="0060319C" w:rsidRPr="00BE0265" w:rsidRDefault="0060319C">
      <w:pPr>
        <w:pStyle w:val="BodyA"/>
        <w:rPr>
          <w:rFonts w:ascii="Century" w:eastAsia="Century" w:hAnsi="Century" w:cs="Century"/>
          <w:sz w:val="24"/>
          <w:szCs w:val="24"/>
        </w:rPr>
      </w:pPr>
    </w:p>
    <w:p w:rsidR="0060319C" w:rsidRPr="005E4706" w:rsidRDefault="00C859E7" w:rsidP="0084116B">
      <w:pPr>
        <w:pStyle w:val="BodyA"/>
        <w:ind w:left="3240"/>
        <w:rPr>
          <w:rFonts w:ascii="Century" w:eastAsia="Century" w:hAnsi="Century" w:cs="Century"/>
          <w:b/>
          <w:sz w:val="24"/>
          <w:szCs w:val="24"/>
        </w:rPr>
      </w:pPr>
      <w:r w:rsidRPr="005E4706">
        <w:rPr>
          <w:rFonts w:ascii="Century" w:eastAsia="Century" w:hAnsi="Century" w:cs="Century"/>
          <w:b/>
          <w:sz w:val="24"/>
          <w:szCs w:val="24"/>
        </w:rPr>
        <w:t>CONCLUSION</w:t>
      </w:r>
    </w:p>
    <w:p w:rsidR="0060319C" w:rsidRPr="00BE0265" w:rsidRDefault="0060319C">
      <w:pPr>
        <w:pStyle w:val="BodyA"/>
        <w:rPr>
          <w:rFonts w:ascii="Century" w:eastAsia="Century" w:hAnsi="Century" w:cs="Century"/>
          <w:sz w:val="24"/>
          <w:szCs w:val="24"/>
        </w:rPr>
      </w:pPr>
    </w:p>
    <w:p w:rsidR="0060319C" w:rsidRPr="00BE0265" w:rsidRDefault="00B00414">
      <w:pPr>
        <w:pStyle w:val="BodyA"/>
        <w:rPr>
          <w:rFonts w:ascii="Century" w:eastAsia="Century" w:hAnsi="Century" w:cs="Century"/>
          <w:sz w:val="24"/>
          <w:szCs w:val="24"/>
        </w:rPr>
      </w:pPr>
      <w:r>
        <w:rPr>
          <w:rFonts w:ascii="Century" w:eastAsia="Century" w:hAnsi="Century" w:cs="Century"/>
          <w:i/>
          <w:sz w:val="24"/>
          <w:szCs w:val="24"/>
        </w:rPr>
        <w:tab/>
      </w:r>
      <w:r w:rsidR="00C859E7" w:rsidRPr="00E235F8">
        <w:rPr>
          <w:rFonts w:ascii="Century" w:eastAsia="Century" w:hAnsi="Century" w:cs="Century"/>
          <w:i/>
          <w:sz w:val="24"/>
          <w:szCs w:val="24"/>
        </w:rPr>
        <w:t>Alabama Legislative Black Caucus v. Alabama</w:t>
      </w:r>
      <w:r w:rsidR="00C859E7" w:rsidRPr="00BE0265">
        <w:rPr>
          <w:rFonts w:ascii="Century" w:eastAsia="Century" w:hAnsi="Century" w:cs="Century"/>
          <w:sz w:val="24"/>
          <w:szCs w:val="24"/>
        </w:rPr>
        <w:t xml:space="preserve"> breathed new life into the constitutional tort of racial gerrymandering</w:t>
      </w:r>
      <w:r w:rsidR="0070444B">
        <w:rPr>
          <w:rFonts w:ascii="Century" w:eastAsia="Century" w:hAnsi="Century" w:cs="Century"/>
          <w:sz w:val="24"/>
          <w:szCs w:val="24"/>
        </w:rPr>
        <w:t xml:space="preserve">, and </w:t>
      </w:r>
      <w:r w:rsidR="0070444B" w:rsidRPr="0070444B">
        <w:rPr>
          <w:rFonts w:ascii="Century" w:eastAsia="Century" w:hAnsi="Century" w:cs="Century"/>
          <w:i/>
          <w:sz w:val="24"/>
          <w:szCs w:val="24"/>
        </w:rPr>
        <w:t>Shapiro v. McManus</w:t>
      </w:r>
      <w:r w:rsidR="0070444B">
        <w:rPr>
          <w:rFonts w:ascii="Century" w:eastAsia="Century" w:hAnsi="Century" w:cs="Century"/>
          <w:sz w:val="24"/>
          <w:szCs w:val="24"/>
        </w:rPr>
        <w:t xml:space="preserve"> may do the same for political gerrymandering claims</w:t>
      </w:r>
      <w:r w:rsidR="00C859E7" w:rsidRPr="00BE0265">
        <w:rPr>
          <w:rFonts w:ascii="Century" w:eastAsia="Century" w:hAnsi="Century" w:cs="Century"/>
          <w:sz w:val="24"/>
          <w:szCs w:val="24"/>
        </w:rPr>
        <w:t xml:space="preserve">. </w:t>
      </w:r>
      <w:r w:rsidR="0070444B">
        <w:rPr>
          <w:rFonts w:ascii="Century" w:eastAsia="Century" w:hAnsi="Century" w:cs="Century"/>
          <w:sz w:val="24"/>
          <w:szCs w:val="24"/>
        </w:rPr>
        <w:t xml:space="preserve">The First Amendment may provide a suitable basis for such claims, provided the aggrieved plaintiff can adequately allege and ultimately prove the key elements of </w:t>
      </w:r>
      <w:r w:rsidR="0070444B" w:rsidRPr="0070444B">
        <w:rPr>
          <w:rFonts w:ascii="Century" w:eastAsia="Century" w:hAnsi="Century" w:cs="Century"/>
          <w:sz w:val="24"/>
          <w:szCs w:val="24"/>
        </w:rPr>
        <w:t xml:space="preserve">intent, injury, and causation and </w:t>
      </w:r>
      <w:r w:rsidR="0070444B">
        <w:rPr>
          <w:rFonts w:ascii="Century" w:eastAsia="Century" w:hAnsi="Century" w:cs="Century"/>
          <w:sz w:val="24"/>
          <w:szCs w:val="24"/>
        </w:rPr>
        <w:t>thereby support a</w:t>
      </w:r>
      <w:r w:rsidR="0070444B" w:rsidRPr="0070444B">
        <w:rPr>
          <w:rFonts w:ascii="Century" w:eastAsia="Century" w:hAnsi="Century" w:cs="Century"/>
          <w:sz w:val="24"/>
          <w:szCs w:val="24"/>
        </w:rPr>
        <w:t xml:space="preserve"> plausible claim </w:t>
      </w:r>
      <w:r w:rsidR="0070444B">
        <w:rPr>
          <w:rFonts w:ascii="Century" w:eastAsia="Century" w:hAnsi="Century" w:cs="Century"/>
          <w:sz w:val="24"/>
          <w:szCs w:val="24"/>
        </w:rPr>
        <w:t xml:space="preserve">a given redistricting plan has </w:t>
      </w:r>
      <w:r w:rsidR="0070444B" w:rsidRPr="0070444B">
        <w:rPr>
          <w:rFonts w:ascii="Century" w:eastAsia="Century" w:hAnsi="Century" w:cs="Century"/>
          <w:sz w:val="24"/>
          <w:szCs w:val="24"/>
        </w:rPr>
        <w:t>violated the plaintiff</w:t>
      </w:r>
      <w:r w:rsidR="0070444B">
        <w:rPr>
          <w:rFonts w:ascii="Century" w:eastAsia="Century" w:hAnsi="Century" w:cs="Century"/>
          <w:sz w:val="24"/>
          <w:szCs w:val="24"/>
        </w:rPr>
        <w:t>’s</w:t>
      </w:r>
      <w:r w:rsidR="0070444B" w:rsidRPr="0070444B">
        <w:rPr>
          <w:rFonts w:ascii="Century" w:eastAsia="Century" w:hAnsi="Century" w:cs="Century"/>
          <w:sz w:val="24"/>
          <w:szCs w:val="24"/>
        </w:rPr>
        <w:t xml:space="preserve"> rights under the First Amendment</w:t>
      </w:r>
    </w:p>
    <w:p w:rsidR="0060319C" w:rsidRPr="00BE0265" w:rsidRDefault="0060319C">
      <w:pPr>
        <w:pStyle w:val="BodyA"/>
        <w:rPr>
          <w:rFonts w:ascii="Century" w:eastAsia="Century" w:hAnsi="Century" w:cs="Century"/>
          <w:sz w:val="24"/>
          <w:szCs w:val="24"/>
        </w:rPr>
      </w:pPr>
    </w:p>
    <w:p w:rsidR="0060319C" w:rsidRPr="00BE0265" w:rsidRDefault="00B00414">
      <w:pPr>
        <w:pStyle w:val="BodyA"/>
        <w:rPr>
          <w:rFonts w:ascii="Century" w:eastAsia="Century" w:hAnsi="Century" w:cs="Century"/>
          <w:sz w:val="24"/>
          <w:szCs w:val="24"/>
        </w:rPr>
      </w:pPr>
      <w:r>
        <w:rPr>
          <w:rFonts w:ascii="Century" w:eastAsia="Century" w:hAnsi="Century" w:cs="Century"/>
          <w:sz w:val="24"/>
          <w:szCs w:val="24"/>
        </w:rPr>
        <w:tab/>
      </w:r>
      <w:r w:rsidR="0084116B">
        <w:rPr>
          <w:rFonts w:ascii="Century" w:eastAsia="Century" w:hAnsi="Century" w:cs="Century"/>
          <w:sz w:val="24"/>
          <w:szCs w:val="24"/>
        </w:rPr>
        <w:t>For</w:t>
      </w:r>
      <w:r w:rsidR="0070444B">
        <w:rPr>
          <w:rFonts w:ascii="Century" w:eastAsia="Century" w:hAnsi="Century" w:cs="Century"/>
          <w:sz w:val="24"/>
          <w:szCs w:val="24"/>
        </w:rPr>
        <w:t xml:space="preserve"> </w:t>
      </w:r>
      <w:r w:rsidR="004336EF">
        <w:rPr>
          <w:rFonts w:ascii="Century" w:eastAsia="Century" w:hAnsi="Century" w:cs="Century"/>
          <w:sz w:val="24"/>
          <w:szCs w:val="24"/>
        </w:rPr>
        <w:t>racial gerrymandering claims</w:t>
      </w:r>
      <w:r w:rsidR="0084116B">
        <w:rPr>
          <w:rFonts w:ascii="Century" w:eastAsia="Century" w:hAnsi="Century" w:cs="Century"/>
          <w:sz w:val="24"/>
          <w:szCs w:val="24"/>
        </w:rPr>
        <w:t>, t</w:t>
      </w:r>
      <w:r w:rsidR="0070444B">
        <w:rPr>
          <w:rFonts w:ascii="Century" w:eastAsia="Century" w:hAnsi="Century" w:cs="Century"/>
          <w:sz w:val="24"/>
          <w:szCs w:val="24"/>
        </w:rPr>
        <w:t xml:space="preserve">here are </w:t>
      </w:r>
      <w:r w:rsidR="00C859E7" w:rsidRPr="00BE0265">
        <w:rPr>
          <w:rFonts w:ascii="Century" w:eastAsia="Century" w:hAnsi="Century" w:cs="Century"/>
          <w:sz w:val="24"/>
          <w:szCs w:val="24"/>
        </w:rPr>
        <w:t xml:space="preserve">sharply divergent results in the application of the racial predominance standard in Virginia's </w:t>
      </w:r>
      <w:r w:rsidR="00C859E7" w:rsidRPr="00E235F8">
        <w:rPr>
          <w:rFonts w:ascii="Century" w:eastAsia="Century" w:hAnsi="Century" w:cs="Century"/>
          <w:i/>
          <w:sz w:val="24"/>
          <w:szCs w:val="24"/>
        </w:rPr>
        <w:t>Page</w:t>
      </w:r>
      <w:r w:rsidR="00C859E7" w:rsidRPr="00BE0265">
        <w:rPr>
          <w:rFonts w:ascii="Century" w:eastAsia="Century" w:hAnsi="Century" w:cs="Century"/>
          <w:sz w:val="24"/>
          <w:szCs w:val="24"/>
        </w:rPr>
        <w:t xml:space="preserve"> and </w:t>
      </w:r>
      <w:r w:rsidR="00C859E7" w:rsidRPr="00E235F8">
        <w:rPr>
          <w:rFonts w:ascii="Century" w:eastAsia="Century" w:hAnsi="Century" w:cs="Century"/>
          <w:i/>
          <w:sz w:val="24"/>
          <w:szCs w:val="24"/>
        </w:rPr>
        <w:t>Bethune-Hill</w:t>
      </w:r>
      <w:r w:rsidR="00C859E7" w:rsidRPr="00BE0265">
        <w:rPr>
          <w:rFonts w:ascii="Century" w:eastAsia="Century" w:hAnsi="Century" w:cs="Century"/>
          <w:sz w:val="24"/>
          <w:szCs w:val="24"/>
        </w:rPr>
        <w:t xml:space="preserve"> decisions and in North Carolina's </w:t>
      </w:r>
      <w:r w:rsidR="00C859E7" w:rsidRPr="00E235F8">
        <w:rPr>
          <w:rFonts w:ascii="Century" w:eastAsia="Century" w:hAnsi="Century" w:cs="Century"/>
          <w:i/>
          <w:sz w:val="24"/>
          <w:szCs w:val="24"/>
        </w:rPr>
        <w:t>Dickson</w:t>
      </w:r>
      <w:r w:rsidR="00C859E7" w:rsidRPr="00BE0265">
        <w:rPr>
          <w:rFonts w:ascii="Century" w:eastAsia="Century" w:hAnsi="Century" w:cs="Century"/>
          <w:sz w:val="24"/>
          <w:szCs w:val="24"/>
        </w:rPr>
        <w:t xml:space="preserve"> and </w:t>
      </w:r>
      <w:r>
        <w:rPr>
          <w:rFonts w:ascii="Century" w:eastAsia="Century" w:hAnsi="Century" w:cs="Century"/>
          <w:i/>
          <w:sz w:val="24"/>
          <w:szCs w:val="24"/>
        </w:rPr>
        <w:t>Harris</w:t>
      </w:r>
      <w:r w:rsidRPr="00BE0265">
        <w:rPr>
          <w:rFonts w:ascii="Century" w:eastAsia="Century" w:hAnsi="Century" w:cs="Century"/>
          <w:sz w:val="24"/>
          <w:szCs w:val="24"/>
        </w:rPr>
        <w:t xml:space="preserve"> </w:t>
      </w:r>
      <w:r w:rsidR="00C859E7" w:rsidRPr="00BE0265">
        <w:rPr>
          <w:rFonts w:ascii="Century" w:eastAsia="Century" w:hAnsi="Century" w:cs="Century"/>
          <w:sz w:val="24"/>
          <w:szCs w:val="24"/>
        </w:rPr>
        <w:t>decisions</w:t>
      </w:r>
      <w:r w:rsidR="0070444B">
        <w:rPr>
          <w:rFonts w:ascii="Century" w:eastAsia="Century" w:hAnsi="Century" w:cs="Century"/>
          <w:sz w:val="24"/>
          <w:szCs w:val="24"/>
        </w:rPr>
        <w:t xml:space="preserve">. That sharp divergence illustrates </w:t>
      </w:r>
      <w:r w:rsidR="00C859E7" w:rsidRPr="00BE0265">
        <w:rPr>
          <w:rFonts w:ascii="Century" w:eastAsia="Century" w:hAnsi="Century" w:cs="Century"/>
          <w:sz w:val="24"/>
          <w:szCs w:val="24"/>
        </w:rPr>
        <w:t xml:space="preserve"> graphically that courts are struggling to find a coherent, uniformly applicable set of constitutional standards for measuring the propriety of racial classifications during the redistricting process</w:t>
      </w:r>
      <w:r w:rsidR="00C81A11">
        <w:rPr>
          <w:rFonts w:ascii="Century" w:eastAsia="Century" w:hAnsi="Century" w:cs="Century"/>
          <w:sz w:val="24"/>
          <w:szCs w:val="24"/>
        </w:rPr>
        <w:t>, and for determining when race trumps political partisanship in that process</w:t>
      </w:r>
      <w:r w:rsidR="00C859E7" w:rsidRPr="00BE0265">
        <w:rPr>
          <w:rFonts w:ascii="Century" w:eastAsia="Century" w:hAnsi="Century" w:cs="Century"/>
          <w:sz w:val="24"/>
          <w:szCs w:val="24"/>
        </w:rPr>
        <w:t xml:space="preserve">. </w:t>
      </w:r>
      <w:r>
        <w:rPr>
          <w:rFonts w:ascii="Century" w:eastAsia="Century" w:hAnsi="Century" w:cs="Century"/>
          <w:sz w:val="24"/>
          <w:szCs w:val="24"/>
        </w:rPr>
        <w:t>M</w:t>
      </w:r>
      <w:r w:rsidR="00C859E7" w:rsidRPr="00BE0265">
        <w:rPr>
          <w:rFonts w:ascii="Century" w:eastAsia="Century" w:hAnsi="Century" w:cs="Century"/>
          <w:sz w:val="24"/>
          <w:szCs w:val="24"/>
        </w:rPr>
        <w:t>oving this debate to a</w:t>
      </w:r>
      <w:r w:rsidR="00E235F8">
        <w:rPr>
          <w:rFonts w:ascii="Century" w:eastAsia="Century" w:hAnsi="Century" w:cs="Century"/>
          <w:sz w:val="24"/>
          <w:szCs w:val="24"/>
        </w:rPr>
        <w:t xml:space="preserve"> politically divided</w:t>
      </w:r>
      <w:r w:rsidR="00C859E7" w:rsidRPr="00BE0265">
        <w:rPr>
          <w:rFonts w:ascii="Century" w:eastAsia="Century" w:hAnsi="Century" w:cs="Century"/>
          <w:sz w:val="24"/>
          <w:szCs w:val="24"/>
        </w:rPr>
        <w:t xml:space="preserve"> eight-member United States Supreme Court may not provide a solution anytime soon</w:t>
      </w:r>
      <w:r>
        <w:rPr>
          <w:rFonts w:ascii="Century" w:eastAsia="Century" w:hAnsi="Century" w:cs="Century"/>
          <w:sz w:val="24"/>
          <w:szCs w:val="24"/>
        </w:rPr>
        <w:t xml:space="preserve">, </w:t>
      </w:r>
      <w:r w:rsidR="007F3038">
        <w:rPr>
          <w:rFonts w:ascii="Century" w:eastAsia="Century" w:hAnsi="Century" w:cs="Century"/>
          <w:sz w:val="24"/>
          <w:szCs w:val="24"/>
        </w:rPr>
        <w:t>and for the time being t</w:t>
      </w:r>
      <w:r>
        <w:rPr>
          <w:rFonts w:ascii="Century" w:eastAsia="Century" w:hAnsi="Century" w:cs="Century"/>
          <w:sz w:val="24"/>
          <w:szCs w:val="24"/>
        </w:rPr>
        <w:t xml:space="preserve">he struggle </w:t>
      </w:r>
      <w:r w:rsidR="007F3038">
        <w:rPr>
          <w:rFonts w:ascii="Century" w:eastAsia="Century" w:hAnsi="Century" w:cs="Century"/>
          <w:sz w:val="24"/>
          <w:szCs w:val="24"/>
        </w:rPr>
        <w:t>may</w:t>
      </w:r>
      <w:r>
        <w:rPr>
          <w:rFonts w:ascii="Century" w:eastAsia="Century" w:hAnsi="Century" w:cs="Century"/>
          <w:sz w:val="24"/>
          <w:szCs w:val="24"/>
        </w:rPr>
        <w:t xml:space="preserve"> continue</w:t>
      </w:r>
      <w:r w:rsidR="0070444B">
        <w:rPr>
          <w:rFonts w:ascii="Century" w:eastAsia="Century" w:hAnsi="Century" w:cs="Century"/>
          <w:sz w:val="24"/>
          <w:szCs w:val="24"/>
        </w:rPr>
        <w:t xml:space="preserve"> through a series of politically predictable 4-4 votes</w:t>
      </w:r>
      <w:r w:rsidR="007F3038">
        <w:rPr>
          <w:rFonts w:ascii="Century" w:eastAsia="Century" w:hAnsi="Century" w:cs="Century"/>
          <w:sz w:val="24"/>
          <w:szCs w:val="24"/>
        </w:rPr>
        <w:t xml:space="preserve"> until a ninth Justice emerges once the current stalemate between the Executive Branch and the Senate Judiciary Committee’s majority is resolved</w:t>
      </w:r>
      <w:r>
        <w:rPr>
          <w:rFonts w:ascii="Century" w:eastAsia="Century" w:hAnsi="Century" w:cs="Century"/>
          <w:sz w:val="24"/>
          <w:szCs w:val="24"/>
        </w:rPr>
        <w:t>.</w:t>
      </w:r>
    </w:p>
    <w:p w:rsidR="0060319C" w:rsidRPr="00BE0265" w:rsidRDefault="0060319C">
      <w:pPr>
        <w:pStyle w:val="BodyA"/>
        <w:rPr>
          <w:rFonts w:ascii="Century" w:eastAsia="Century" w:hAnsi="Century" w:cs="Century"/>
          <w:sz w:val="24"/>
          <w:szCs w:val="24"/>
        </w:rPr>
      </w:pPr>
    </w:p>
    <w:p w:rsidR="0060319C" w:rsidRPr="00BE0265" w:rsidRDefault="00B00414">
      <w:pPr>
        <w:pStyle w:val="BodyA"/>
        <w:rPr>
          <w:rFonts w:ascii="Century" w:eastAsia="Century" w:hAnsi="Century" w:cs="Century"/>
          <w:sz w:val="24"/>
          <w:szCs w:val="24"/>
        </w:rPr>
      </w:pPr>
      <w:r>
        <w:rPr>
          <w:rFonts w:ascii="Century" w:eastAsia="Century" w:hAnsi="Century" w:cs="Century"/>
          <w:sz w:val="24"/>
          <w:szCs w:val="24"/>
        </w:rPr>
        <w:tab/>
      </w:r>
      <w:r w:rsidR="0084116B">
        <w:rPr>
          <w:rFonts w:ascii="Century" w:eastAsia="Century" w:hAnsi="Century" w:cs="Century"/>
          <w:sz w:val="24"/>
          <w:szCs w:val="24"/>
        </w:rPr>
        <w:t>The</w:t>
      </w:r>
      <w:r w:rsidR="00C859E7" w:rsidRPr="00BE0265">
        <w:rPr>
          <w:rFonts w:ascii="Century" w:eastAsia="Century" w:hAnsi="Century" w:cs="Century"/>
          <w:sz w:val="24"/>
          <w:szCs w:val="24"/>
        </w:rPr>
        <w:t xml:space="preserve"> courts are still not in accord on the ultimate question of when race impermissibly becomes the predominant factor </w:t>
      </w:r>
      <w:r>
        <w:rPr>
          <w:rFonts w:ascii="Century" w:eastAsia="Century" w:hAnsi="Century" w:cs="Century"/>
          <w:sz w:val="24"/>
          <w:szCs w:val="24"/>
        </w:rPr>
        <w:t>forming the basis of a redistricting plan</w:t>
      </w:r>
      <w:r w:rsidR="0084116B">
        <w:rPr>
          <w:rFonts w:ascii="Century" w:eastAsia="Century" w:hAnsi="Century" w:cs="Century"/>
          <w:sz w:val="24"/>
          <w:szCs w:val="24"/>
        </w:rPr>
        <w:t xml:space="preserve">. Further, </w:t>
      </w:r>
      <w:r w:rsidR="00C859E7" w:rsidRPr="00BE0265">
        <w:rPr>
          <w:rFonts w:ascii="Century" w:eastAsia="Century" w:hAnsi="Century" w:cs="Century"/>
          <w:sz w:val="24"/>
          <w:szCs w:val="24"/>
        </w:rPr>
        <w:t xml:space="preserve">the United States Supreme Court has not provided adequate guidance for those jurisdictions seeking to invoke compliance with Section 2, or prior compliance with Section 5, as a sufficient justification for a race-based redistricting plan. </w:t>
      </w:r>
      <w:r w:rsidR="007F3038">
        <w:rPr>
          <w:rFonts w:ascii="Century" w:eastAsia="Century" w:hAnsi="Century" w:cs="Century"/>
          <w:sz w:val="24"/>
          <w:szCs w:val="24"/>
        </w:rPr>
        <w:t>These issues await clarification by the Court.</w:t>
      </w:r>
    </w:p>
    <w:p w:rsidR="0060319C" w:rsidRPr="00BE0265" w:rsidRDefault="0060319C">
      <w:pPr>
        <w:pStyle w:val="BodyA"/>
        <w:rPr>
          <w:rFonts w:ascii="Century" w:eastAsia="Century" w:hAnsi="Century" w:cs="Century"/>
          <w:sz w:val="24"/>
          <w:szCs w:val="24"/>
        </w:rPr>
      </w:pPr>
    </w:p>
    <w:p w:rsidR="007F3038" w:rsidRDefault="00B00414" w:rsidP="003D3E8E">
      <w:pPr>
        <w:pStyle w:val="BodyA"/>
        <w:rPr>
          <w:rFonts w:ascii="Century" w:eastAsia="Century" w:hAnsi="Century" w:cs="Century"/>
          <w:sz w:val="24"/>
          <w:szCs w:val="24"/>
        </w:rPr>
      </w:pPr>
      <w:r>
        <w:rPr>
          <w:rFonts w:ascii="Century" w:eastAsia="Century" w:hAnsi="Century" w:cs="Century"/>
          <w:sz w:val="24"/>
          <w:szCs w:val="24"/>
        </w:rPr>
        <w:tab/>
      </w:r>
      <w:r w:rsidR="007F3038">
        <w:rPr>
          <w:rFonts w:ascii="Century" w:eastAsia="Century" w:hAnsi="Century" w:cs="Century"/>
          <w:sz w:val="24"/>
          <w:szCs w:val="24"/>
        </w:rPr>
        <w:t>For now, we can discern a</w:t>
      </w:r>
      <w:r w:rsidR="00C93B6B">
        <w:rPr>
          <w:rFonts w:ascii="Century" w:eastAsia="Century" w:hAnsi="Century" w:cs="Century"/>
          <w:sz w:val="24"/>
          <w:szCs w:val="24"/>
        </w:rPr>
        <w:t xml:space="preserve"> coherent </w:t>
      </w:r>
      <w:r w:rsidR="00C859E7" w:rsidRPr="00BE0265">
        <w:rPr>
          <w:rFonts w:ascii="Century" w:eastAsia="Century" w:hAnsi="Century" w:cs="Century"/>
          <w:sz w:val="24"/>
          <w:szCs w:val="24"/>
        </w:rPr>
        <w:t xml:space="preserve">approach to the racial gerrymandering quandary </w:t>
      </w:r>
      <w:r w:rsidR="007F3038">
        <w:rPr>
          <w:rFonts w:ascii="Century" w:eastAsia="Century" w:hAnsi="Century" w:cs="Century"/>
          <w:sz w:val="24"/>
          <w:szCs w:val="24"/>
        </w:rPr>
        <w:t xml:space="preserve">through the decisions handed down thus far in the </w:t>
      </w:r>
      <w:r w:rsidR="00C859E7" w:rsidRPr="00BE0265">
        <w:rPr>
          <w:rFonts w:ascii="Century" w:eastAsia="Century" w:hAnsi="Century" w:cs="Century"/>
          <w:sz w:val="24"/>
          <w:szCs w:val="24"/>
        </w:rPr>
        <w:t xml:space="preserve">Virginia and North Carolina </w:t>
      </w:r>
      <w:r w:rsidR="007F3038">
        <w:rPr>
          <w:rFonts w:ascii="Century" w:eastAsia="Century" w:hAnsi="Century" w:cs="Century"/>
          <w:sz w:val="24"/>
          <w:szCs w:val="24"/>
        </w:rPr>
        <w:t xml:space="preserve">redistricting litigation. </w:t>
      </w:r>
    </w:p>
    <w:p w:rsidR="007F3038" w:rsidRDefault="007F3038" w:rsidP="003D3E8E">
      <w:pPr>
        <w:pStyle w:val="BodyA"/>
        <w:rPr>
          <w:rFonts w:ascii="Century" w:eastAsia="Century" w:hAnsi="Century" w:cs="Century"/>
          <w:sz w:val="24"/>
          <w:szCs w:val="24"/>
        </w:rPr>
      </w:pPr>
    </w:p>
    <w:p w:rsidR="0060319C" w:rsidRDefault="007F3038" w:rsidP="007F3038">
      <w:pPr>
        <w:pStyle w:val="BodyA"/>
        <w:ind w:firstLine="720"/>
        <w:rPr>
          <w:rFonts w:ascii="Century" w:eastAsia="Century" w:hAnsi="Century" w:cs="Century"/>
          <w:sz w:val="24"/>
          <w:szCs w:val="24"/>
        </w:rPr>
      </w:pPr>
      <w:r>
        <w:rPr>
          <w:rFonts w:ascii="Century" w:eastAsia="Century" w:hAnsi="Century" w:cs="Century"/>
          <w:sz w:val="24"/>
          <w:szCs w:val="24"/>
        </w:rPr>
        <w:t xml:space="preserve">That approach may consist of several factors: (1) </w:t>
      </w:r>
      <w:r w:rsidR="00C859E7" w:rsidRPr="00BE0265">
        <w:rPr>
          <w:rFonts w:ascii="Century" w:eastAsia="Century" w:hAnsi="Century" w:cs="Century"/>
          <w:sz w:val="24"/>
          <w:szCs w:val="24"/>
        </w:rPr>
        <w:t xml:space="preserve">a principled analysis of the burden of proof </w:t>
      </w:r>
      <w:r w:rsidR="00C93B6B">
        <w:rPr>
          <w:rFonts w:ascii="Century" w:eastAsia="Century" w:hAnsi="Century" w:cs="Century"/>
          <w:sz w:val="24"/>
          <w:szCs w:val="24"/>
        </w:rPr>
        <w:t>for</w:t>
      </w:r>
      <w:r w:rsidR="00C859E7" w:rsidRPr="00BE0265">
        <w:rPr>
          <w:rFonts w:ascii="Century" w:eastAsia="Century" w:hAnsi="Century" w:cs="Century"/>
          <w:sz w:val="24"/>
          <w:szCs w:val="24"/>
        </w:rPr>
        <w:t xml:space="preserve"> </w:t>
      </w:r>
      <w:r w:rsidR="00C93B6B" w:rsidRPr="00C93B6B">
        <w:rPr>
          <w:rFonts w:ascii="Century" w:eastAsia="Century" w:hAnsi="Century" w:cs="Century"/>
          <w:i/>
          <w:sz w:val="24"/>
          <w:szCs w:val="24"/>
        </w:rPr>
        <w:t>Shaw</w:t>
      </w:r>
      <w:r w:rsidR="00C93B6B">
        <w:rPr>
          <w:rFonts w:ascii="Century" w:eastAsia="Century" w:hAnsi="Century" w:cs="Century"/>
          <w:sz w:val="24"/>
          <w:szCs w:val="24"/>
        </w:rPr>
        <w:t xml:space="preserve"> </w:t>
      </w:r>
      <w:r w:rsidR="00C859E7" w:rsidRPr="00BE0265">
        <w:rPr>
          <w:rFonts w:ascii="Century" w:eastAsia="Century" w:hAnsi="Century" w:cs="Century"/>
          <w:sz w:val="24"/>
          <w:szCs w:val="24"/>
        </w:rPr>
        <w:t xml:space="preserve">claims of racial gerrymandering, </w:t>
      </w:r>
      <w:r>
        <w:rPr>
          <w:rFonts w:ascii="Century" w:eastAsia="Century" w:hAnsi="Century" w:cs="Century"/>
          <w:sz w:val="24"/>
          <w:szCs w:val="24"/>
        </w:rPr>
        <w:t xml:space="preserve">(2) </w:t>
      </w:r>
      <w:r w:rsidR="00C859E7" w:rsidRPr="00BE0265">
        <w:rPr>
          <w:rFonts w:ascii="Century" w:eastAsia="Century" w:hAnsi="Century" w:cs="Century"/>
          <w:sz w:val="24"/>
          <w:szCs w:val="24"/>
        </w:rPr>
        <w:t xml:space="preserve">a consistent application of </w:t>
      </w:r>
      <w:r w:rsidR="00C93B6B">
        <w:rPr>
          <w:rFonts w:ascii="Century" w:eastAsia="Century" w:hAnsi="Century" w:cs="Century"/>
          <w:sz w:val="24"/>
          <w:szCs w:val="24"/>
        </w:rPr>
        <w:t xml:space="preserve">deference and </w:t>
      </w:r>
      <w:r w:rsidR="00C859E7" w:rsidRPr="00BE0265">
        <w:rPr>
          <w:rFonts w:ascii="Century" w:eastAsia="Century" w:hAnsi="Century" w:cs="Century"/>
          <w:sz w:val="24"/>
          <w:szCs w:val="24"/>
        </w:rPr>
        <w:t xml:space="preserve">the presumption of constitutionality of state legislative action in the redistricting arena, </w:t>
      </w:r>
      <w:r>
        <w:rPr>
          <w:rFonts w:ascii="Century" w:eastAsia="Century" w:hAnsi="Century" w:cs="Century"/>
          <w:sz w:val="24"/>
          <w:szCs w:val="24"/>
        </w:rPr>
        <w:t xml:space="preserve">(3) </w:t>
      </w:r>
      <w:r w:rsidR="003D3E8E">
        <w:rPr>
          <w:rFonts w:ascii="Century" w:eastAsia="Century" w:hAnsi="Century" w:cs="Century"/>
          <w:sz w:val="24"/>
          <w:szCs w:val="24"/>
        </w:rPr>
        <w:t>a</w:t>
      </w:r>
      <w:r w:rsidR="00C859E7" w:rsidRPr="00BE0265">
        <w:rPr>
          <w:rFonts w:ascii="Century" w:eastAsia="Century" w:hAnsi="Century" w:cs="Century"/>
          <w:sz w:val="24"/>
          <w:szCs w:val="24"/>
        </w:rPr>
        <w:t xml:space="preserve"> consistent application of ex</w:t>
      </w:r>
      <w:r w:rsidR="003D3E8E">
        <w:rPr>
          <w:rFonts w:ascii="Century" w:eastAsia="Century" w:hAnsi="Century" w:cs="Century"/>
          <w:sz w:val="24"/>
          <w:szCs w:val="24"/>
        </w:rPr>
        <w:t>isting constitutional precedent</w:t>
      </w:r>
      <w:r w:rsidR="00E235F8">
        <w:rPr>
          <w:rFonts w:ascii="Century" w:eastAsia="Century" w:hAnsi="Century" w:cs="Century"/>
          <w:sz w:val="24"/>
          <w:szCs w:val="24"/>
        </w:rPr>
        <w:t xml:space="preserve"> </w:t>
      </w:r>
      <w:r w:rsidR="00C859E7" w:rsidRPr="00BE0265">
        <w:rPr>
          <w:rFonts w:ascii="Century" w:eastAsia="Century" w:hAnsi="Century" w:cs="Century"/>
          <w:sz w:val="24"/>
          <w:szCs w:val="24"/>
        </w:rPr>
        <w:t xml:space="preserve">with respect to racial classifications, </w:t>
      </w:r>
      <w:r>
        <w:rPr>
          <w:rFonts w:ascii="Century" w:eastAsia="Century" w:hAnsi="Century" w:cs="Century"/>
          <w:sz w:val="24"/>
          <w:szCs w:val="24"/>
        </w:rPr>
        <w:t xml:space="preserve">(4) </w:t>
      </w:r>
      <w:r w:rsidR="00C93B6B">
        <w:rPr>
          <w:rFonts w:ascii="Century" w:eastAsia="Century" w:hAnsi="Century" w:cs="Century"/>
          <w:sz w:val="24"/>
          <w:szCs w:val="24"/>
        </w:rPr>
        <w:t>a fact-based assessment of whether the redistricting variables of racial identification and political affiliation are highly correlated or not</w:t>
      </w:r>
      <w:r w:rsidR="003D3E8E">
        <w:rPr>
          <w:rFonts w:ascii="Century" w:eastAsia="Century" w:hAnsi="Century" w:cs="Century"/>
          <w:sz w:val="24"/>
          <w:szCs w:val="24"/>
        </w:rPr>
        <w:t xml:space="preserve">, and </w:t>
      </w:r>
      <w:r>
        <w:rPr>
          <w:rFonts w:ascii="Century" w:eastAsia="Century" w:hAnsi="Century" w:cs="Century"/>
          <w:sz w:val="24"/>
          <w:szCs w:val="24"/>
        </w:rPr>
        <w:t xml:space="preserve">(5) </w:t>
      </w:r>
      <w:r w:rsidR="003D3E8E">
        <w:rPr>
          <w:rFonts w:ascii="Century" w:eastAsia="Century" w:hAnsi="Century" w:cs="Century"/>
          <w:sz w:val="24"/>
          <w:szCs w:val="24"/>
        </w:rPr>
        <w:t>a</w:t>
      </w:r>
      <w:r w:rsidR="00C859E7" w:rsidRPr="00BE0265">
        <w:rPr>
          <w:rFonts w:ascii="Century" w:eastAsia="Century" w:hAnsi="Century" w:cs="Century"/>
          <w:sz w:val="24"/>
          <w:szCs w:val="24"/>
        </w:rPr>
        <w:t xml:space="preserve">n intensely fact-specific appraisal of the political landscape and litigation history that forms the backdrop for such claims in a particular jurisdiction. </w:t>
      </w:r>
    </w:p>
    <w:p w:rsidR="003D3E8E" w:rsidRDefault="003D3E8E" w:rsidP="003D3E8E">
      <w:pPr>
        <w:pStyle w:val="BodyA"/>
        <w:rPr>
          <w:rFonts w:ascii="Century" w:eastAsia="Century" w:hAnsi="Century" w:cs="Century"/>
          <w:sz w:val="24"/>
          <w:szCs w:val="24"/>
        </w:rPr>
      </w:pPr>
    </w:p>
    <w:p w:rsidR="00200DA4" w:rsidRDefault="00C93B6B" w:rsidP="0055164B">
      <w:pPr>
        <w:pStyle w:val="BodyA"/>
        <w:ind w:firstLine="720"/>
        <w:rPr>
          <w:rFonts w:ascii="Century" w:eastAsia="Century" w:hAnsi="Century" w:cs="Century"/>
          <w:sz w:val="24"/>
          <w:szCs w:val="24"/>
        </w:rPr>
      </w:pPr>
      <w:r>
        <w:rPr>
          <w:rFonts w:ascii="Century" w:eastAsia="Century" w:hAnsi="Century" w:cs="Century"/>
          <w:sz w:val="24"/>
          <w:szCs w:val="24"/>
        </w:rPr>
        <w:t xml:space="preserve">The success or failure of </w:t>
      </w:r>
      <w:r w:rsidRPr="00C93B6B">
        <w:rPr>
          <w:rFonts w:ascii="Century" w:eastAsia="Century" w:hAnsi="Century" w:cs="Century"/>
          <w:i/>
          <w:sz w:val="24"/>
          <w:szCs w:val="24"/>
        </w:rPr>
        <w:t>Shaw</w:t>
      </w:r>
      <w:r>
        <w:rPr>
          <w:rFonts w:ascii="Century" w:eastAsia="Century" w:hAnsi="Century" w:cs="Century"/>
          <w:sz w:val="24"/>
          <w:szCs w:val="24"/>
        </w:rPr>
        <w:t xml:space="preserve"> claims should turn in part on whether a legislative body allows race to predominate in the development of a redistricting plan, </w:t>
      </w:r>
      <w:r w:rsidR="0020121F">
        <w:rPr>
          <w:rFonts w:ascii="Century" w:eastAsia="Century" w:hAnsi="Century" w:cs="Century"/>
          <w:sz w:val="24"/>
          <w:szCs w:val="24"/>
        </w:rPr>
        <w:t xml:space="preserve">in subordination of </w:t>
      </w:r>
      <w:r>
        <w:rPr>
          <w:rFonts w:ascii="Century" w:eastAsia="Century" w:hAnsi="Century" w:cs="Century"/>
          <w:sz w:val="24"/>
          <w:szCs w:val="24"/>
        </w:rPr>
        <w:t xml:space="preserve">race-neutral traditional districting principles. </w:t>
      </w:r>
      <w:r w:rsidR="003D3E8E">
        <w:rPr>
          <w:rFonts w:ascii="Century" w:eastAsia="Century" w:hAnsi="Century" w:cs="Century"/>
          <w:sz w:val="24"/>
          <w:szCs w:val="24"/>
        </w:rPr>
        <w:t xml:space="preserve">Another central concern over the </w:t>
      </w:r>
      <w:r w:rsidR="00200DA4">
        <w:rPr>
          <w:rFonts w:ascii="Century" w:eastAsia="Century" w:hAnsi="Century" w:cs="Century"/>
          <w:sz w:val="24"/>
          <w:szCs w:val="24"/>
        </w:rPr>
        <w:t>viability of such claims</w:t>
      </w:r>
      <w:r w:rsidR="003D3E8E">
        <w:rPr>
          <w:rFonts w:ascii="Century" w:eastAsia="Century" w:hAnsi="Century" w:cs="Century"/>
          <w:sz w:val="24"/>
          <w:szCs w:val="24"/>
        </w:rPr>
        <w:t xml:space="preserve"> will be </w:t>
      </w:r>
      <w:r>
        <w:rPr>
          <w:rFonts w:ascii="Century" w:eastAsia="Century" w:hAnsi="Century" w:cs="Century"/>
          <w:sz w:val="24"/>
          <w:szCs w:val="24"/>
        </w:rPr>
        <w:t xml:space="preserve">whether the use of race is narrowly tailored to serve a compelling governmental interest. </w:t>
      </w:r>
    </w:p>
    <w:p w:rsidR="00200DA4" w:rsidRDefault="00200DA4" w:rsidP="0055164B">
      <w:pPr>
        <w:pStyle w:val="BodyA"/>
        <w:ind w:firstLine="720"/>
        <w:rPr>
          <w:rFonts w:ascii="Century" w:eastAsia="Century" w:hAnsi="Century" w:cs="Century"/>
          <w:sz w:val="24"/>
          <w:szCs w:val="24"/>
        </w:rPr>
      </w:pPr>
    </w:p>
    <w:p w:rsidR="00346219" w:rsidRDefault="007F3038" w:rsidP="00346219">
      <w:pPr>
        <w:pStyle w:val="BodyA"/>
        <w:rPr>
          <w:rFonts w:ascii="Century" w:eastAsia="Century" w:hAnsi="Century" w:cs="Century"/>
          <w:sz w:val="24"/>
          <w:szCs w:val="24"/>
        </w:rPr>
      </w:pPr>
      <w:r>
        <w:rPr>
          <w:rFonts w:ascii="Century" w:eastAsia="Century" w:hAnsi="Century" w:cs="Century"/>
          <w:sz w:val="24"/>
          <w:szCs w:val="24"/>
        </w:rPr>
        <w:t xml:space="preserve">While it may be quite some time before the lower courts can fully articulate </w:t>
      </w:r>
      <w:r w:rsidR="00346219">
        <w:rPr>
          <w:rFonts w:ascii="Century" w:eastAsia="Century" w:hAnsi="Century" w:cs="Century"/>
          <w:sz w:val="24"/>
          <w:szCs w:val="24"/>
        </w:rPr>
        <w:t>whether and in what manner t</w:t>
      </w:r>
      <w:r w:rsidRPr="007F3038">
        <w:rPr>
          <w:rFonts w:ascii="Century" w:eastAsia="Century" w:hAnsi="Century" w:cs="Century"/>
          <w:sz w:val="24"/>
          <w:szCs w:val="24"/>
        </w:rPr>
        <w:t xml:space="preserve">he First Amendment </w:t>
      </w:r>
      <w:r w:rsidR="00346219">
        <w:rPr>
          <w:rFonts w:ascii="Century" w:eastAsia="Century" w:hAnsi="Century" w:cs="Century"/>
          <w:sz w:val="24"/>
          <w:szCs w:val="24"/>
        </w:rPr>
        <w:t xml:space="preserve">can </w:t>
      </w:r>
      <w:r w:rsidRPr="007F3038">
        <w:rPr>
          <w:rFonts w:ascii="Century" w:eastAsia="Century" w:hAnsi="Century" w:cs="Century"/>
          <w:sz w:val="24"/>
          <w:szCs w:val="24"/>
        </w:rPr>
        <w:t xml:space="preserve">provide a suitable basis for </w:t>
      </w:r>
      <w:r w:rsidR="00346219">
        <w:rPr>
          <w:rFonts w:ascii="Century" w:eastAsia="Century" w:hAnsi="Century" w:cs="Century"/>
          <w:sz w:val="24"/>
          <w:szCs w:val="24"/>
        </w:rPr>
        <w:t xml:space="preserve">political gerrymandering claims, the law applicable to racial gerrymandering is reaching a critical mass in the context of viable </w:t>
      </w:r>
      <w:r w:rsidR="00346219" w:rsidRPr="00346219">
        <w:rPr>
          <w:rFonts w:ascii="Century" w:eastAsia="Century" w:hAnsi="Century" w:cs="Century"/>
          <w:i/>
          <w:sz w:val="24"/>
          <w:szCs w:val="24"/>
        </w:rPr>
        <w:t xml:space="preserve">Shaw </w:t>
      </w:r>
      <w:r w:rsidR="00346219">
        <w:rPr>
          <w:rFonts w:ascii="Century" w:eastAsia="Century" w:hAnsi="Century" w:cs="Century"/>
          <w:sz w:val="24"/>
          <w:szCs w:val="24"/>
        </w:rPr>
        <w:t xml:space="preserve">claims. Nonetheless, the fate of </w:t>
      </w:r>
      <w:r w:rsidR="00346219" w:rsidRPr="00346219">
        <w:rPr>
          <w:rFonts w:ascii="Century" w:eastAsia="Century" w:hAnsi="Century" w:cs="Century"/>
          <w:i/>
          <w:sz w:val="24"/>
          <w:szCs w:val="24"/>
        </w:rPr>
        <w:t>Shaw</w:t>
      </w:r>
      <w:r w:rsidR="00346219">
        <w:rPr>
          <w:rFonts w:ascii="Century" w:eastAsia="Century" w:hAnsi="Century" w:cs="Century"/>
          <w:sz w:val="24"/>
          <w:szCs w:val="24"/>
        </w:rPr>
        <w:t xml:space="preserve"> claims will hang in a 4-4 balance u</w:t>
      </w:r>
      <w:r w:rsidR="00C93B6B">
        <w:rPr>
          <w:rFonts w:ascii="Century" w:eastAsia="Century" w:hAnsi="Century" w:cs="Century"/>
          <w:sz w:val="24"/>
          <w:szCs w:val="24"/>
        </w:rPr>
        <w:t>ntil the U.S. Supreme Court provides guidance to the lower courts on whether compliance with nonretrogression principles under now-immobilized Section 5 or avoidance of vote dilution liability under Section 2 constitute such a compelling governmental interest</w:t>
      </w:r>
      <w:r w:rsidR="00346219">
        <w:rPr>
          <w:rFonts w:ascii="Century" w:eastAsia="Century" w:hAnsi="Century" w:cs="Century"/>
          <w:sz w:val="24"/>
          <w:szCs w:val="24"/>
        </w:rPr>
        <w:t>.</w:t>
      </w:r>
      <w:r w:rsidR="00C93B6B">
        <w:rPr>
          <w:rFonts w:ascii="Century" w:eastAsia="Century" w:hAnsi="Century" w:cs="Century"/>
          <w:sz w:val="24"/>
          <w:szCs w:val="24"/>
        </w:rPr>
        <w:t xml:space="preserve"> </w:t>
      </w:r>
      <w:r w:rsidR="00346219">
        <w:rPr>
          <w:rFonts w:ascii="Century" w:eastAsia="Century" w:hAnsi="Century" w:cs="Century"/>
          <w:sz w:val="24"/>
          <w:szCs w:val="24"/>
        </w:rPr>
        <w:t xml:space="preserve">We may be moving toward a resolution of this impasse </w:t>
      </w:r>
      <w:r w:rsidR="00346219">
        <w:rPr>
          <w:rFonts w:ascii="Century" w:eastAsia="Century" w:hAnsi="Century" w:cs="Century"/>
          <w:sz w:val="24"/>
          <w:szCs w:val="24"/>
        </w:rPr>
        <w:t xml:space="preserve">after November 8, 2016. </w:t>
      </w:r>
    </w:p>
    <w:p w:rsidR="00C93B6B" w:rsidRDefault="00C93B6B" w:rsidP="0055164B">
      <w:pPr>
        <w:pStyle w:val="BodyA"/>
        <w:ind w:firstLine="720"/>
        <w:rPr>
          <w:rFonts w:ascii="Century" w:eastAsia="Century" w:hAnsi="Century" w:cs="Century"/>
          <w:sz w:val="24"/>
          <w:szCs w:val="24"/>
        </w:rPr>
      </w:pPr>
    </w:p>
    <w:p w:rsidR="00A065F0" w:rsidRDefault="00A065F0" w:rsidP="0055164B">
      <w:pPr>
        <w:pStyle w:val="BodyA"/>
        <w:pBdr>
          <w:bottom w:val="single" w:sz="6" w:space="1" w:color="auto"/>
        </w:pBdr>
        <w:ind w:firstLine="720"/>
        <w:rPr>
          <w:rFonts w:ascii="Century" w:eastAsia="Century" w:hAnsi="Century" w:cs="Century"/>
          <w:sz w:val="24"/>
          <w:szCs w:val="24"/>
        </w:rPr>
      </w:pPr>
    </w:p>
    <w:p w:rsidR="00A065F0" w:rsidRDefault="00A065F0" w:rsidP="0055164B">
      <w:pPr>
        <w:pStyle w:val="BodyA"/>
        <w:pBdr>
          <w:top w:val="none" w:sz="0" w:space="0" w:color="auto"/>
        </w:pBdr>
        <w:ind w:firstLine="720"/>
        <w:rPr>
          <w:rFonts w:ascii="Century" w:eastAsia="Century" w:hAnsi="Century" w:cs="Century"/>
          <w:sz w:val="24"/>
          <w:szCs w:val="24"/>
        </w:rPr>
      </w:pPr>
    </w:p>
    <w:p w:rsidR="00A065F0" w:rsidRPr="00BE0265" w:rsidRDefault="00A065F0" w:rsidP="0055164B">
      <w:pPr>
        <w:pStyle w:val="BodyA"/>
        <w:pBdr>
          <w:top w:val="none" w:sz="0" w:space="0" w:color="auto"/>
        </w:pBdr>
        <w:ind w:firstLine="720"/>
        <w:rPr>
          <w:rFonts w:ascii="Century" w:eastAsia="Century" w:hAnsi="Century" w:cs="Century"/>
          <w:sz w:val="24"/>
          <w:szCs w:val="24"/>
        </w:rPr>
      </w:pPr>
      <w:r>
        <w:rPr>
          <w:rFonts w:ascii="Century" w:eastAsia="Century" w:hAnsi="Century" w:cs="Century"/>
          <w:sz w:val="24"/>
          <w:szCs w:val="24"/>
        </w:rPr>
        <w:t xml:space="preserve">*Ben Griffith is </w:t>
      </w:r>
      <w:r w:rsidR="00CB6DBB">
        <w:rPr>
          <w:rFonts w:ascii="Century" w:eastAsia="Century" w:hAnsi="Century" w:cs="Century"/>
          <w:sz w:val="24"/>
          <w:szCs w:val="24"/>
        </w:rPr>
        <w:t xml:space="preserve">principal in Griffith Law Firm in Oxford, Mississippi, and </w:t>
      </w:r>
      <w:r>
        <w:rPr>
          <w:rFonts w:ascii="Century" w:eastAsia="Century" w:hAnsi="Century" w:cs="Century"/>
          <w:sz w:val="24"/>
          <w:szCs w:val="24"/>
        </w:rPr>
        <w:t xml:space="preserve">editor and chapter author of </w:t>
      </w:r>
      <w:r w:rsidRPr="00CB6DBB">
        <w:rPr>
          <w:rFonts w:ascii="Century" w:eastAsia="Century" w:hAnsi="Century" w:cs="Century"/>
          <w:i/>
          <w:sz w:val="24"/>
          <w:szCs w:val="24"/>
        </w:rPr>
        <w:t xml:space="preserve">America Votes! Challenges to Modern Election Law and Voting Rights </w:t>
      </w:r>
      <w:r>
        <w:rPr>
          <w:rFonts w:ascii="Century" w:eastAsia="Century" w:hAnsi="Century" w:cs="Century"/>
          <w:sz w:val="24"/>
          <w:szCs w:val="24"/>
        </w:rPr>
        <w:t>(3</w:t>
      </w:r>
      <w:r w:rsidRPr="00A065F0">
        <w:rPr>
          <w:rFonts w:ascii="Century" w:eastAsia="Century" w:hAnsi="Century" w:cs="Century"/>
          <w:sz w:val="24"/>
          <w:szCs w:val="24"/>
          <w:vertAlign w:val="superscript"/>
        </w:rPr>
        <w:t>rd</w:t>
      </w:r>
      <w:r>
        <w:rPr>
          <w:rFonts w:ascii="Century" w:eastAsia="Century" w:hAnsi="Century" w:cs="Century"/>
          <w:sz w:val="24"/>
          <w:szCs w:val="24"/>
        </w:rPr>
        <w:t xml:space="preserve"> ed. </w:t>
      </w:r>
      <w:r w:rsidR="00CB6DBB">
        <w:rPr>
          <w:rFonts w:ascii="Century" w:eastAsia="Century" w:hAnsi="Century" w:cs="Century"/>
          <w:sz w:val="24"/>
          <w:szCs w:val="24"/>
        </w:rPr>
        <w:t xml:space="preserve">ABA </w:t>
      </w:r>
      <w:r>
        <w:rPr>
          <w:rFonts w:ascii="Century" w:eastAsia="Century" w:hAnsi="Century" w:cs="Century"/>
          <w:sz w:val="24"/>
          <w:szCs w:val="24"/>
        </w:rPr>
        <w:t>2016)</w:t>
      </w:r>
      <w:r w:rsidR="00CB6DBB">
        <w:rPr>
          <w:rFonts w:ascii="Century" w:eastAsia="Century" w:hAnsi="Century" w:cs="Century"/>
          <w:sz w:val="24"/>
          <w:szCs w:val="24"/>
        </w:rPr>
        <w:t xml:space="preserve">. He is a member of the ABA Board of Governors and since 2009 has served in the House of Delegates. He is an adjunct professor at the University of Mississippi School of Law, past-Chair of the ABA Section of State and Local Government Law, and enjoys a federal civil practice focusing on voting rights litigation, civil rights defense and insurance defense. </w:t>
      </w:r>
    </w:p>
    <w:sectPr w:rsidR="00A065F0" w:rsidRPr="00BE0265">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C3" w:rsidRDefault="00CD78C3">
      <w:r>
        <w:separator/>
      </w:r>
    </w:p>
  </w:endnote>
  <w:endnote w:type="continuationSeparator" w:id="0">
    <w:p w:rsidR="00CD78C3" w:rsidRDefault="00CD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57" w:rsidRDefault="00514E57">
    <w:pPr>
      <w:pStyle w:val="Footer"/>
      <w:tabs>
        <w:tab w:val="clear" w:pos="9360"/>
        <w:tab w:val="right" w:pos="9340"/>
      </w:tabs>
      <w:jc w:val="center"/>
    </w:pPr>
    <w:r>
      <w:fldChar w:fldCharType="begin"/>
    </w:r>
    <w:r>
      <w:instrText xml:space="preserve"> PAGE </w:instrText>
    </w:r>
    <w:r>
      <w:fldChar w:fldCharType="separate"/>
    </w:r>
    <w:r w:rsidR="00F846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C3" w:rsidRDefault="00CD78C3">
      <w:r>
        <w:separator/>
      </w:r>
    </w:p>
  </w:footnote>
  <w:footnote w:type="continuationSeparator" w:id="0">
    <w:p w:rsidR="00CD78C3" w:rsidRDefault="00CD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DFE"/>
    <w:multiLevelType w:val="hybridMultilevel"/>
    <w:tmpl w:val="1318F51A"/>
    <w:lvl w:ilvl="0" w:tplc="AFC25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3DF1"/>
    <w:multiLevelType w:val="hybridMultilevel"/>
    <w:tmpl w:val="B498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2A47"/>
    <w:multiLevelType w:val="hybridMultilevel"/>
    <w:tmpl w:val="4E00C4D4"/>
    <w:styleLink w:val="Numbered"/>
    <w:lvl w:ilvl="0" w:tplc="93F47BC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BCADE7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BE8A1E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3F250E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59EE68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698A8C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1003BA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7503E3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1042B1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0A36C8"/>
    <w:multiLevelType w:val="hybridMultilevel"/>
    <w:tmpl w:val="C6BE1F0E"/>
    <w:lvl w:ilvl="0" w:tplc="72D4918E">
      <w:start w:val="1"/>
      <w:numFmt w:val="upperLetter"/>
      <w:lvlText w:val="%1."/>
      <w:lvlJc w:val="left"/>
      <w:pPr>
        <w:ind w:left="420" w:hanging="360"/>
      </w:pPr>
      <w:rPr>
        <w:rFonts w:eastAsia="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7DC13BE"/>
    <w:multiLevelType w:val="hybridMultilevel"/>
    <w:tmpl w:val="3DF09DE8"/>
    <w:lvl w:ilvl="0" w:tplc="FE1AB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2D5C"/>
    <w:multiLevelType w:val="hybridMultilevel"/>
    <w:tmpl w:val="8B968F40"/>
    <w:lvl w:ilvl="0" w:tplc="9BBAC87A">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A6000C4"/>
    <w:multiLevelType w:val="hybridMultilevel"/>
    <w:tmpl w:val="E19A540E"/>
    <w:lvl w:ilvl="0" w:tplc="8D6AA15C">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7" w15:restartNumberingAfterBreak="0">
    <w:nsid w:val="20D70B9B"/>
    <w:multiLevelType w:val="hybridMultilevel"/>
    <w:tmpl w:val="A6B4B3FA"/>
    <w:lvl w:ilvl="0" w:tplc="E1B68FD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43F2B2A"/>
    <w:multiLevelType w:val="hybridMultilevel"/>
    <w:tmpl w:val="C430F100"/>
    <w:lvl w:ilvl="0" w:tplc="65BC3508">
      <w:start w:val="9"/>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8F3045A"/>
    <w:multiLevelType w:val="hybridMultilevel"/>
    <w:tmpl w:val="AD24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5433E"/>
    <w:multiLevelType w:val="hybridMultilevel"/>
    <w:tmpl w:val="8948F650"/>
    <w:lvl w:ilvl="0" w:tplc="53126B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CD4C84"/>
    <w:multiLevelType w:val="hybridMultilevel"/>
    <w:tmpl w:val="7D825E22"/>
    <w:lvl w:ilvl="0" w:tplc="37CC0426">
      <w:start w:val="24"/>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0CA0B51"/>
    <w:multiLevelType w:val="hybridMultilevel"/>
    <w:tmpl w:val="6A84A292"/>
    <w:lvl w:ilvl="0" w:tplc="B1C6951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56DC7EB3"/>
    <w:multiLevelType w:val="hybridMultilevel"/>
    <w:tmpl w:val="4E00C4D4"/>
    <w:numStyleLink w:val="Numbered"/>
  </w:abstractNum>
  <w:abstractNum w:abstractNumId="14" w15:restartNumberingAfterBreak="0">
    <w:nsid w:val="5A7451D5"/>
    <w:multiLevelType w:val="hybridMultilevel"/>
    <w:tmpl w:val="06EA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F01A1"/>
    <w:multiLevelType w:val="hybridMultilevel"/>
    <w:tmpl w:val="711E2280"/>
    <w:lvl w:ilvl="0" w:tplc="FFD42FFA">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D923B75"/>
    <w:multiLevelType w:val="hybridMultilevel"/>
    <w:tmpl w:val="9892C698"/>
    <w:lvl w:ilvl="0" w:tplc="66CAD594">
      <w:start w:val="1"/>
      <w:numFmt w:val="upperLetter"/>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642BE0"/>
    <w:multiLevelType w:val="hybridMultilevel"/>
    <w:tmpl w:val="F40E8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F1F65"/>
    <w:multiLevelType w:val="hybridMultilevel"/>
    <w:tmpl w:val="3EA2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7"/>
  </w:num>
  <w:num w:numId="5">
    <w:abstractNumId w:val="14"/>
  </w:num>
  <w:num w:numId="6">
    <w:abstractNumId w:val="15"/>
  </w:num>
  <w:num w:numId="7">
    <w:abstractNumId w:val="16"/>
  </w:num>
  <w:num w:numId="8">
    <w:abstractNumId w:val="18"/>
  </w:num>
  <w:num w:numId="9">
    <w:abstractNumId w:val="0"/>
  </w:num>
  <w:num w:numId="10">
    <w:abstractNumId w:val="6"/>
  </w:num>
  <w:num w:numId="11">
    <w:abstractNumId w:val="10"/>
  </w:num>
  <w:num w:numId="12">
    <w:abstractNumId w:val="9"/>
  </w:num>
  <w:num w:numId="13">
    <w:abstractNumId w:val="5"/>
  </w:num>
  <w:num w:numId="14">
    <w:abstractNumId w:val="12"/>
  </w:num>
  <w:num w:numId="15">
    <w:abstractNumId w:val="17"/>
  </w:num>
  <w:num w:numId="16">
    <w:abstractNumId w:val="3"/>
  </w:num>
  <w:num w:numId="17">
    <w:abstractNumId w:val="11"/>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9C"/>
    <w:rsid w:val="00042299"/>
    <w:rsid w:val="00047CAD"/>
    <w:rsid w:val="00064264"/>
    <w:rsid w:val="000748B5"/>
    <w:rsid w:val="000A4FCD"/>
    <w:rsid w:val="000D30C4"/>
    <w:rsid w:val="000D5EB8"/>
    <w:rsid w:val="000E00F6"/>
    <w:rsid w:val="000E63A4"/>
    <w:rsid w:val="00123560"/>
    <w:rsid w:val="001328CA"/>
    <w:rsid w:val="00132BDC"/>
    <w:rsid w:val="0014387A"/>
    <w:rsid w:val="00145F8E"/>
    <w:rsid w:val="001657A6"/>
    <w:rsid w:val="001871E5"/>
    <w:rsid w:val="001A1801"/>
    <w:rsid w:val="001C1D13"/>
    <w:rsid w:val="001D5D90"/>
    <w:rsid w:val="001E2A12"/>
    <w:rsid w:val="001E54F7"/>
    <w:rsid w:val="00200DA4"/>
    <w:rsid w:val="0020121F"/>
    <w:rsid w:val="0020689B"/>
    <w:rsid w:val="00242C09"/>
    <w:rsid w:val="0028685C"/>
    <w:rsid w:val="002B0C48"/>
    <w:rsid w:val="002B29D2"/>
    <w:rsid w:val="00324D1E"/>
    <w:rsid w:val="00346219"/>
    <w:rsid w:val="00394842"/>
    <w:rsid w:val="003D3E8E"/>
    <w:rsid w:val="003D795C"/>
    <w:rsid w:val="00400A92"/>
    <w:rsid w:val="004336EF"/>
    <w:rsid w:val="00455474"/>
    <w:rsid w:val="0047101B"/>
    <w:rsid w:val="00476880"/>
    <w:rsid w:val="00495519"/>
    <w:rsid w:val="004C648A"/>
    <w:rsid w:val="004F28B0"/>
    <w:rsid w:val="00514E57"/>
    <w:rsid w:val="005305ED"/>
    <w:rsid w:val="00537595"/>
    <w:rsid w:val="0055164B"/>
    <w:rsid w:val="00575A45"/>
    <w:rsid w:val="005A4B79"/>
    <w:rsid w:val="005A67AB"/>
    <w:rsid w:val="005C1159"/>
    <w:rsid w:val="005C119B"/>
    <w:rsid w:val="005C1962"/>
    <w:rsid w:val="005C7B0D"/>
    <w:rsid w:val="005E4706"/>
    <w:rsid w:val="0060319C"/>
    <w:rsid w:val="00622B57"/>
    <w:rsid w:val="00697940"/>
    <w:rsid w:val="006A0DAD"/>
    <w:rsid w:val="006A72C7"/>
    <w:rsid w:val="006C0F15"/>
    <w:rsid w:val="006C17F9"/>
    <w:rsid w:val="006D316B"/>
    <w:rsid w:val="006D54A9"/>
    <w:rsid w:val="006E454D"/>
    <w:rsid w:val="006E6201"/>
    <w:rsid w:val="0070444B"/>
    <w:rsid w:val="00715D64"/>
    <w:rsid w:val="007167D4"/>
    <w:rsid w:val="0076385B"/>
    <w:rsid w:val="00791010"/>
    <w:rsid w:val="00794335"/>
    <w:rsid w:val="0079454E"/>
    <w:rsid w:val="00797E65"/>
    <w:rsid w:val="007E3AA4"/>
    <w:rsid w:val="007F3038"/>
    <w:rsid w:val="00826F08"/>
    <w:rsid w:val="00836E4C"/>
    <w:rsid w:val="0084116B"/>
    <w:rsid w:val="00893FCA"/>
    <w:rsid w:val="008966BB"/>
    <w:rsid w:val="008F1969"/>
    <w:rsid w:val="00916051"/>
    <w:rsid w:val="00966F26"/>
    <w:rsid w:val="009845FA"/>
    <w:rsid w:val="009B72B1"/>
    <w:rsid w:val="009C7BAE"/>
    <w:rsid w:val="009E22CB"/>
    <w:rsid w:val="00A029FE"/>
    <w:rsid w:val="00A065F0"/>
    <w:rsid w:val="00A32B27"/>
    <w:rsid w:val="00A33237"/>
    <w:rsid w:val="00A3467C"/>
    <w:rsid w:val="00AD23D7"/>
    <w:rsid w:val="00AD58C9"/>
    <w:rsid w:val="00B00414"/>
    <w:rsid w:val="00B0335A"/>
    <w:rsid w:val="00B137B1"/>
    <w:rsid w:val="00B2104D"/>
    <w:rsid w:val="00B22E43"/>
    <w:rsid w:val="00B66444"/>
    <w:rsid w:val="00B73226"/>
    <w:rsid w:val="00B75F30"/>
    <w:rsid w:val="00B870AA"/>
    <w:rsid w:val="00B953DA"/>
    <w:rsid w:val="00BB239B"/>
    <w:rsid w:val="00BC54FA"/>
    <w:rsid w:val="00BE0265"/>
    <w:rsid w:val="00BF11DB"/>
    <w:rsid w:val="00BF3DC1"/>
    <w:rsid w:val="00BF4C34"/>
    <w:rsid w:val="00C424B6"/>
    <w:rsid w:val="00C604D4"/>
    <w:rsid w:val="00C63F91"/>
    <w:rsid w:val="00C702CA"/>
    <w:rsid w:val="00C81A11"/>
    <w:rsid w:val="00C82090"/>
    <w:rsid w:val="00C859E7"/>
    <w:rsid w:val="00C8700C"/>
    <w:rsid w:val="00C93B6B"/>
    <w:rsid w:val="00CB6DBB"/>
    <w:rsid w:val="00CD78C3"/>
    <w:rsid w:val="00D17553"/>
    <w:rsid w:val="00D230AE"/>
    <w:rsid w:val="00D35394"/>
    <w:rsid w:val="00D56479"/>
    <w:rsid w:val="00D661A7"/>
    <w:rsid w:val="00D83877"/>
    <w:rsid w:val="00D83A3B"/>
    <w:rsid w:val="00DB7097"/>
    <w:rsid w:val="00DB7328"/>
    <w:rsid w:val="00DC5392"/>
    <w:rsid w:val="00DD07C6"/>
    <w:rsid w:val="00DD3CDC"/>
    <w:rsid w:val="00DE79AE"/>
    <w:rsid w:val="00E0219B"/>
    <w:rsid w:val="00E21918"/>
    <w:rsid w:val="00E235F8"/>
    <w:rsid w:val="00E364AC"/>
    <w:rsid w:val="00E408C6"/>
    <w:rsid w:val="00E948EA"/>
    <w:rsid w:val="00EB41DD"/>
    <w:rsid w:val="00EB4F5F"/>
    <w:rsid w:val="00EF3825"/>
    <w:rsid w:val="00F3554B"/>
    <w:rsid w:val="00F35C78"/>
    <w:rsid w:val="00F5631A"/>
    <w:rsid w:val="00F61A2F"/>
    <w:rsid w:val="00F729F7"/>
    <w:rsid w:val="00F846E6"/>
    <w:rsid w:val="00F87843"/>
    <w:rsid w:val="00FA0F85"/>
    <w:rsid w:val="00FA3F7C"/>
    <w:rsid w:val="00FB0691"/>
    <w:rsid w:val="00FB27BD"/>
    <w:rsid w:val="00FC3C1C"/>
    <w:rsid w:val="00FD4E6F"/>
    <w:rsid w:val="00FE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720C0-012C-4B1E-9A31-AB310E1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DD3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DC"/>
    <w:rPr>
      <w:rFonts w:ascii="Segoe UI" w:hAnsi="Segoe UI" w:cs="Segoe UI"/>
      <w:sz w:val="18"/>
      <w:szCs w:val="18"/>
    </w:rPr>
  </w:style>
  <w:style w:type="character" w:styleId="CommentReference">
    <w:name w:val="annotation reference"/>
    <w:basedOn w:val="DefaultParagraphFont"/>
    <w:uiPriority w:val="99"/>
    <w:semiHidden/>
    <w:unhideWhenUsed/>
    <w:rsid w:val="003D795C"/>
    <w:rPr>
      <w:sz w:val="16"/>
      <w:szCs w:val="16"/>
    </w:rPr>
  </w:style>
  <w:style w:type="paragraph" w:styleId="CommentText">
    <w:name w:val="annotation text"/>
    <w:basedOn w:val="Normal"/>
    <w:link w:val="CommentTextChar"/>
    <w:uiPriority w:val="99"/>
    <w:semiHidden/>
    <w:unhideWhenUsed/>
    <w:rsid w:val="003D795C"/>
    <w:rPr>
      <w:sz w:val="20"/>
      <w:szCs w:val="20"/>
    </w:rPr>
  </w:style>
  <w:style w:type="character" w:customStyle="1" w:styleId="CommentTextChar">
    <w:name w:val="Comment Text Char"/>
    <w:basedOn w:val="DefaultParagraphFont"/>
    <w:link w:val="CommentText"/>
    <w:uiPriority w:val="99"/>
    <w:semiHidden/>
    <w:rsid w:val="003D795C"/>
  </w:style>
  <w:style w:type="paragraph" w:styleId="CommentSubject">
    <w:name w:val="annotation subject"/>
    <w:basedOn w:val="CommentText"/>
    <w:next w:val="CommentText"/>
    <w:link w:val="CommentSubjectChar"/>
    <w:uiPriority w:val="99"/>
    <w:semiHidden/>
    <w:unhideWhenUsed/>
    <w:rsid w:val="003D795C"/>
    <w:rPr>
      <w:b/>
      <w:bCs/>
    </w:rPr>
  </w:style>
  <w:style w:type="character" w:customStyle="1" w:styleId="CommentSubjectChar">
    <w:name w:val="Comment Subject Char"/>
    <w:basedOn w:val="CommentTextChar"/>
    <w:link w:val="CommentSubject"/>
    <w:uiPriority w:val="99"/>
    <w:semiHidden/>
    <w:rsid w:val="003D795C"/>
    <w:rPr>
      <w:b/>
      <w:bCs/>
    </w:rPr>
  </w:style>
  <w:style w:type="paragraph" w:styleId="ListParagraph">
    <w:name w:val="List Paragraph"/>
    <w:basedOn w:val="Normal"/>
    <w:uiPriority w:val="34"/>
    <w:qFormat/>
    <w:rsid w:val="00AD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7842">
      <w:bodyDiv w:val="1"/>
      <w:marLeft w:val="0"/>
      <w:marRight w:val="0"/>
      <w:marTop w:val="0"/>
      <w:marBottom w:val="0"/>
      <w:divBdr>
        <w:top w:val="none" w:sz="0" w:space="0" w:color="auto"/>
        <w:left w:val="none" w:sz="0" w:space="0" w:color="auto"/>
        <w:bottom w:val="none" w:sz="0" w:space="0" w:color="auto"/>
        <w:right w:val="none" w:sz="0" w:space="0" w:color="auto"/>
      </w:divBdr>
      <w:divsChild>
        <w:div w:id="1810318353">
          <w:marLeft w:val="0"/>
          <w:marRight w:val="0"/>
          <w:marTop w:val="300"/>
          <w:marBottom w:val="0"/>
          <w:divBdr>
            <w:top w:val="none" w:sz="0" w:space="0" w:color="auto"/>
            <w:left w:val="none" w:sz="0" w:space="0" w:color="auto"/>
            <w:bottom w:val="none" w:sz="0" w:space="0" w:color="auto"/>
            <w:right w:val="none" w:sz="0" w:space="0" w:color="auto"/>
          </w:divBdr>
          <w:divsChild>
            <w:div w:id="648171892">
              <w:marLeft w:val="0"/>
              <w:marRight w:val="0"/>
              <w:marTop w:val="0"/>
              <w:marBottom w:val="0"/>
              <w:divBdr>
                <w:top w:val="none" w:sz="0" w:space="0" w:color="auto"/>
                <w:left w:val="none" w:sz="0" w:space="0" w:color="auto"/>
                <w:bottom w:val="none" w:sz="0" w:space="0" w:color="auto"/>
                <w:right w:val="none" w:sz="0" w:space="0" w:color="auto"/>
              </w:divBdr>
              <w:divsChild>
                <w:div w:id="783813340">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1321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7995">
      <w:bodyDiv w:val="1"/>
      <w:marLeft w:val="0"/>
      <w:marRight w:val="0"/>
      <w:marTop w:val="0"/>
      <w:marBottom w:val="0"/>
      <w:divBdr>
        <w:top w:val="none" w:sz="0" w:space="0" w:color="auto"/>
        <w:left w:val="none" w:sz="0" w:space="0" w:color="auto"/>
        <w:bottom w:val="none" w:sz="0" w:space="0" w:color="auto"/>
        <w:right w:val="none" w:sz="0" w:space="0" w:color="auto"/>
      </w:divBdr>
      <w:divsChild>
        <w:div w:id="299773197">
          <w:marLeft w:val="0"/>
          <w:marRight w:val="0"/>
          <w:marTop w:val="300"/>
          <w:marBottom w:val="0"/>
          <w:divBdr>
            <w:top w:val="none" w:sz="0" w:space="0" w:color="auto"/>
            <w:left w:val="none" w:sz="0" w:space="0" w:color="auto"/>
            <w:bottom w:val="none" w:sz="0" w:space="0" w:color="auto"/>
            <w:right w:val="none" w:sz="0" w:space="0" w:color="auto"/>
          </w:divBdr>
          <w:divsChild>
            <w:div w:id="584385623">
              <w:marLeft w:val="0"/>
              <w:marRight w:val="0"/>
              <w:marTop w:val="0"/>
              <w:marBottom w:val="0"/>
              <w:divBdr>
                <w:top w:val="none" w:sz="0" w:space="0" w:color="auto"/>
                <w:left w:val="none" w:sz="0" w:space="0" w:color="auto"/>
                <w:bottom w:val="none" w:sz="0" w:space="0" w:color="auto"/>
                <w:right w:val="none" w:sz="0" w:space="0" w:color="auto"/>
              </w:divBdr>
              <w:divsChild>
                <w:div w:id="1536232563">
                  <w:marLeft w:val="0"/>
                  <w:marRight w:val="0"/>
                  <w:marTop w:val="0"/>
                  <w:marBottom w:val="300"/>
                  <w:divBdr>
                    <w:top w:val="single" w:sz="12" w:space="11" w:color="CCCCCC"/>
                    <w:left w:val="single" w:sz="6" w:space="15" w:color="CCCCCC"/>
                    <w:bottom w:val="single" w:sz="6" w:space="11" w:color="CCCCCC"/>
                    <w:right w:val="single" w:sz="6" w:space="15" w:color="CCCCCC"/>
                  </w:divBdr>
                  <w:divsChild>
                    <w:div w:id="289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wp-content/uploads/2016/09/15-680-merit-brief-appellant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usblog.com/case-files/cases/bethune-hill-v-virginia-state-board-of-elections/?wpmp_switcher=desktop" TargetMode="External"/><Relationship Id="rId12" Type="http://schemas.openxmlformats.org/officeDocument/2006/relationships/hyperlink" Target="https://scholar.google.com/scholar_case?case=5152767999033440537&amp;q=political+gerrymandering+partisanship&amp;hl=en&amp;as_sdt=3,25&amp;as_ylo=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case?case=5152767999033440537&amp;q=political+gerrymandering+partisanship&amp;hl=en&amp;as_sdt=3,25&amp;as_ylo=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inkprogress.org/justice/2016/02/13/3749464/the-simply-breathtaking-consequences-of-justice-scalias-death/" TargetMode="External"/><Relationship Id="rId4" Type="http://schemas.openxmlformats.org/officeDocument/2006/relationships/webSettings" Target="webSettings.xml"/><Relationship Id="rId9" Type="http://schemas.openxmlformats.org/officeDocument/2006/relationships/hyperlink" Target="http://www.scotusblog.com/case-files/cases/dickson-v-rucho/"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bgriff</dc:creator>
  <cp:lastModifiedBy>Ben Griffith</cp:lastModifiedBy>
  <cp:revision>2</cp:revision>
  <cp:lastPrinted>2016-09-15T21:34:00Z</cp:lastPrinted>
  <dcterms:created xsi:type="dcterms:W3CDTF">2016-09-27T18:31:00Z</dcterms:created>
  <dcterms:modified xsi:type="dcterms:W3CDTF">2016-09-27T18:31:00Z</dcterms:modified>
</cp:coreProperties>
</file>